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9979A0">
      <w:pPr>
        <w:tabs>
          <w:tab w:val="left" w:pos="1418"/>
        </w:tabs>
        <w:jc w:val="center"/>
        <w:rPr>
          <w:rFonts w:ascii="Times New Roman" w:hAnsi="Times New Roman" w:eastAsia="Times New Roman" w:cs="Times New Roman"/>
          <w:kern w:val="0"/>
          <w:lang w:val="en-GB" w:eastAsia="en-GB"/>
        </w:rPr>
      </w:pPr>
      <w:bookmarkStart w:id="25" w:name="_GoBack"/>
      <w:bookmarkEnd w:id="25"/>
      <w:r>
        <w:rPr>
          <w:rFonts w:ascii="Times New Roman" w:hAnsi="Times New Roman" w:eastAsia="Times New Roman" w:cs="Times New Roman"/>
          <w:kern w:val="0"/>
          <w:lang w:val="en-GB" w:eastAsia="en-GB"/>
        </w:rPr>
        <w:drawing>
          <wp:anchor distT="0" distB="0" distL="114300" distR="114300" simplePos="0" relativeHeight="251660288" behindDoc="0" locked="0" layoutInCell="1" allowOverlap="1">
            <wp:simplePos x="0" y="0"/>
            <wp:positionH relativeFrom="margin">
              <wp:posOffset>-720725</wp:posOffset>
            </wp:positionH>
            <wp:positionV relativeFrom="paragraph">
              <wp:posOffset>-769620</wp:posOffset>
            </wp:positionV>
            <wp:extent cx="7164070" cy="9204960"/>
            <wp:effectExtent l="0" t="0" r="0" b="0"/>
            <wp:wrapNone/>
            <wp:docPr id="3" name="Picture 3" descr="C:\Users\Neo-User1\Downloads\ChatGPT Image May 7, 2026, 03_29_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Neo-User1\Downloads\ChatGPT Image May 7, 2026, 03_29_02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7179048" cy="9223954"/>
                    </a:xfrm>
                    <a:prstGeom prst="rect">
                      <a:avLst/>
                    </a:prstGeom>
                    <a:noFill/>
                    <a:ln>
                      <a:noFill/>
                    </a:ln>
                  </pic:spPr>
                </pic:pic>
              </a:graphicData>
            </a:graphic>
          </wp:anchor>
        </w:drawing>
      </w:r>
    </w:p>
    <w:p w14:paraId="1FDC20D8">
      <w:pPr>
        <w:tabs>
          <w:tab w:val="left" w:pos="1418"/>
        </w:tabs>
        <w:jc w:val="center"/>
        <w:rPr>
          <w:rFonts w:ascii="Times New Roman" w:hAnsi="Times New Roman" w:eastAsia="Times New Roman" w:cs="Times New Roman"/>
          <w:kern w:val="0"/>
          <w:lang w:val="en-GB" w:eastAsia="en-GB"/>
        </w:rPr>
      </w:pPr>
    </w:p>
    <w:p w14:paraId="5E336D1F">
      <w:pPr>
        <w:tabs>
          <w:tab w:val="left" w:pos="1418"/>
        </w:tabs>
        <w:jc w:val="center"/>
        <w:rPr>
          <w:rFonts w:ascii="Times New Roman" w:hAnsi="Times New Roman" w:eastAsia="Times New Roman" w:cs="Times New Roman"/>
          <w:kern w:val="0"/>
          <w:lang w:val="en-GB" w:eastAsia="en-GB"/>
        </w:rPr>
      </w:pPr>
    </w:p>
    <w:p w14:paraId="1222CFD6">
      <w:pPr>
        <w:rPr>
          <w:rFonts w:ascii="Times New Roman" w:hAnsi="Times New Roman" w:eastAsia="Times New Roman" w:cs="Times New Roman"/>
          <w:kern w:val="0"/>
          <w:lang w:val="en-GB" w:eastAsia="en-GB"/>
        </w:rPr>
      </w:pPr>
      <w:r>
        <w:rPr>
          <w:rFonts w:ascii="Times New Roman" w:hAnsi="Times New Roman" w:eastAsia="Times New Roman" w:cs="Times New Roman"/>
          <w:kern w:val="0"/>
          <w:lang w:val="en-GB" w:eastAsia="en-GB"/>
        </w:rPr>
        <w:br w:type="page"/>
      </w:r>
    </w:p>
    <w:p w14:paraId="3FB49A3A">
      <w:pPr>
        <w:tabs>
          <w:tab w:val="left" w:pos="1418"/>
        </w:tabs>
        <w:jc w:val="center"/>
        <w:rPr>
          <w:rFonts w:ascii="Times New Roman" w:hAnsi="Times New Roman" w:cs="Times New Roman"/>
          <w:b/>
          <w:bCs/>
          <w:color w:val="000000" w:themeColor="text1"/>
          <w:sz w:val="36"/>
          <w:szCs w:val="36"/>
          <w:lang w:val="sr-Cyrl-RS"/>
          <w14:textFill>
            <w14:solidFill>
              <w14:schemeClr w14:val="tx1"/>
            </w14:solidFill>
          </w14:textFill>
        </w:rPr>
      </w:pPr>
    </w:p>
    <w:p w14:paraId="69B4A4C6">
      <w:pPr>
        <w:tabs>
          <w:tab w:val="left" w:pos="1418"/>
        </w:tabs>
        <w:jc w:val="center"/>
        <w:rPr>
          <w:rFonts w:ascii="Times New Roman" w:hAnsi="Times New Roman" w:cs="Times New Roman"/>
          <w:b/>
          <w:bCs/>
          <w:color w:val="000000" w:themeColor="text1"/>
          <w:sz w:val="36"/>
          <w:szCs w:val="36"/>
          <w:lang w:val="sr-Cyrl-RS"/>
          <w14:textFill>
            <w14:solidFill>
              <w14:schemeClr w14:val="tx1"/>
            </w14:solidFill>
          </w14:textFill>
        </w:rPr>
      </w:pPr>
    </w:p>
    <w:p w14:paraId="007E784A">
      <w:pPr>
        <w:tabs>
          <w:tab w:val="left" w:pos="1418"/>
        </w:tabs>
        <w:jc w:val="center"/>
        <w:rPr>
          <w:rFonts w:ascii="Times New Roman" w:hAnsi="Times New Roman" w:cs="Times New Roman"/>
          <w:b/>
          <w:bCs/>
          <w:color w:val="000000" w:themeColor="text1"/>
          <w:sz w:val="36"/>
          <w:szCs w:val="36"/>
          <w:lang w:val="sr-Cyrl-RS"/>
          <w14:textFill>
            <w14:solidFill>
              <w14:schemeClr w14:val="tx1"/>
            </w14:solidFill>
          </w14:textFill>
        </w:rPr>
      </w:pPr>
      <w:r>
        <w:rPr>
          <w:rFonts w:ascii="Times New Roman" w:hAnsi="Times New Roman" w:cs="Times New Roman"/>
          <w:b/>
          <w:bCs/>
          <w:color w:val="000000" w:themeColor="text1"/>
          <w:sz w:val="36"/>
          <w:szCs w:val="36"/>
          <w:lang w:val="sr-Cyrl-RS"/>
          <w14:textFill>
            <w14:solidFill>
              <w14:schemeClr w14:val="tx1"/>
            </w14:solidFill>
          </w14:textFill>
        </w:rPr>
        <w:t>ГРАД ПИРОТ</w:t>
      </w:r>
    </w:p>
    <w:p w14:paraId="0ED959D2">
      <w:pPr>
        <w:tabs>
          <w:tab w:val="left" w:pos="1418"/>
        </w:tabs>
        <w:jc w:val="center"/>
        <w:rPr>
          <w:rFonts w:ascii="Times New Roman" w:hAnsi="Times New Roman" w:cs="Times New Roman"/>
          <w:b/>
          <w:bCs/>
          <w:color w:val="000000" w:themeColor="text1"/>
          <w:lang w:val="sr-Cyrl-RS"/>
          <w14:textFill>
            <w14:solidFill>
              <w14:schemeClr w14:val="tx1"/>
            </w14:solidFill>
          </w14:textFill>
        </w:rPr>
      </w:pPr>
    </w:p>
    <w:p w14:paraId="486E3421">
      <w:pPr>
        <w:spacing w:before="100" w:beforeAutospacing="1" w:after="100" w:afterAutospacing="1" w:line="240" w:lineRule="auto"/>
        <w:rPr>
          <w:rFonts w:ascii="Times New Roman" w:hAnsi="Times New Roman" w:eastAsia="Times New Roman" w:cs="Times New Roman"/>
          <w:kern w:val="0"/>
          <w:lang w:val="en-GB" w:eastAsia="en-GB"/>
        </w:rPr>
      </w:pPr>
    </w:p>
    <w:p w14:paraId="0F699714">
      <w:pPr>
        <w:tabs>
          <w:tab w:val="left" w:pos="1418"/>
        </w:tabs>
        <w:jc w:val="center"/>
        <w:rPr>
          <w:rFonts w:ascii="Times New Roman" w:hAnsi="Times New Roman" w:cs="Times New Roman"/>
          <w:b/>
          <w:bCs/>
          <w:color w:val="000000" w:themeColor="text1"/>
          <w:lang w:val="sr-Cyrl-RS"/>
          <w14:textFill>
            <w14:solidFill>
              <w14:schemeClr w14:val="tx1"/>
            </w14:solidFill>
          </w14:textFill>
        </w:rPr>
      </w:pPr>
    </w:p>
    <w:p w14:paraId="60D58C77">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r>
        <w:rPr>
          <w:rFonts w:ascii="Times New Roman" w:hAnsi="Times New Roman" w:cs="Times New Roman"/>
          <w:b/>
          <w:bCs/>
          <w:color w:val="000000" w:themeColor="text1"/>
          <w:sz w:val="44"/>
          <w:szCs w:val="44"/>
          <w:lang w:val="sr-Cyrl-RS"/>
          <w14:textFill>
            <w14:solidFill>
              <w14:schemeClr w14:val="tx1"/>
            </w14:solidFill>
          </w14:textFill>
        </w:rPr>
        <w:t>ПЛАН ДИГИТАЛНЕ ТРАНСФОРМАЦИЈЕ И РАЗВОЈА ПАМЕТНОГ ГРАДА</w:t>
      </w:r>
    </w:p>
    <w:p w14:paraId="7B7AA5E4">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r>
        <w:rPr>
          <w:rFonts w:ascii="Times New Roman" w:hAnsi="Times New Roman" w:cs="Times New Roman"/>
          <w:b/>
          <w:bCs/>
          <w:color w:val="000000" w:themeColor="text1"/>
          <w:sz w:val="44"/>
          <w:szCs w:val="44"/>
          <w:lang w:val="sr-Cyrl-RS"/>
          <w14:textFill>
            <w14:solidFill>
              <w14:schemeClr w14:val="tx1"/>
            </w14:solidFill>
          </w14:textFill>
        </w:rPr>
        <w:t>2026-2030.</w:t>
      </w:r>
    </w:p>
    <w:p w14:paraId="2B3B14EA">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149E1CDE">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10C62B8C">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1D81447F">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032D7D2E">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0327F44E">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2ED3F65B">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149EDD5E">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2D9F28F4">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4DF2EF42">
      <w:pPr>
        <w:tabs>
          <w:tab w:val="left" w:pos="1418"/>
        </w:tabs>
        <w:jc w:val="center"/>
        <w:rPr>
          <w:rFonts w:ascii="Times New Roman" w:hAnsi="Times New Roman" w:cs="Times New Roman"/>
          <w:b/>
          <w:bCs/>
          <w:color w:val="000000" w:themeColor="text1"/>
          <w:sz w:val="44"/>
          <w:szCs w:val="44"/>
          <w:lang w:val="sr-Cyrl-RS"/>
          <w14:textFill>
            <w14:solidFill>
              <w14:schemeClr w14:val="tx1"/>
            </w14:solidFill>
          </w14:textFill>
        </w:rPr>
      </w:pPr>
    </w:p>
    <w:p w14:paraId="7BD18FEA">
      <w:pPr>
        <w:tabs>
          <w:tab w:val="left" w:pos="1418"/>
        </w:tabs>
        <w:jc w:val="center"/>
        <w:rPr>
          <w:rFonts w:ascii="Times New Roman" w:hAnsi="Times New Roman" w:cs="Times New Roman"/>
          <w:b/>
          <w:bCs/>
          <w:color w:val="000000" w:themeColor="text1"/>
          <w:sz w:val="32"/>
          <w:szCs w:val="32"/>
          <w:lang w:val="sr-Cyrl-RS"/>
          <w14:textFill>
            <w14:solidFill>
              <w14:schemeClr w14:val="tx1"/>
            </w14:solidFill>
          </w14:textFill>
        </w:rPr>
      </w:pPr>
      <w:r>
        <w:rPr>
          <w:rFonts w:ascii="Times New Roman" w:hAnsi="Times New Roman" w:cs="Times New Roman"/>
          <w:b/>
          <w:bCs/>
          <w:color w:val="000000" w:themeColor="text1"/>
          <w:sz w:val="32"/>
          <w:szCs w:val="32"/>
          <w:lang w:val="sr-Cyrl-RS"/>
          <w14:textFill>
            <w14:solidFill>
              <w14:schemeClr w14:val="tx1"/>
            </w14:solidFill>
          </w14:textFill>
        </w:rPr>
        <w:t>(нацрт) 8. ма</w:t>
      </w:r>
      <w:r>
        <w:rPr>
          <w:rFonts w:ascii="Times New Roman" w:hAnsi="Times New Roman" w:cs="Times New Roman"/>
          <w:b/>
          <w:bCs/>
          <w:color w:val="000000" w:themeColor="text1"/>
          <w:sz w:val="32"/>
          <w:szCs w:val="32"/>
          <w14:textFill>
            <w14:solidFill>
              <w14:schemeClr w14:val="tx1"/>
            </w14:solidFill>
          </w14:textFill>
        </w:rPr>
        <w:t>j</w:t>
      </w:r>
      <w:r>
        <w:rPr>
          <w:rFonts w:ascii="Times New Roman" w:hAnsi="Times New Roman" w:cs="Times New Roman"/>
          <w:b/>
          <w:bCs/>
          <w:color w:val="000000" w:themeColor="text1"/>
          <w:sz w:val="32"/>
          <w:szCs w:val="32"/>
          <w:lang w:val="sr-Cyrl-RS"/>
          <w14:textFill>
            <w14:solidFill>
              <w14:schemeClr w14:val="tx1"/>
            </w14:solidFill>
          </w14:textFill>
        </w:rPr>
        <w:t xml:space="preserve"> 2026.</w:t>
      </w:r>
    </w:p>
    <w:p w14:paraId="3AEB976F">
      <w:pPr>
        <w:tabs>
          <w:tab w:val="left" w:pos="1418"/>
        </w:tabs>
        <w:rPr>
          <w:rFonts w:ascii="Times New Roman" w:hAnsi="Times New Roman" w:cs="Times New Roman"/>
          <w:b/>
          <w:bCs/>
          <w:color w:val="000000" w:themeColor="text1"/>
          <w:sz w:val="44"/>
          <w:szCs w:val="44"/>
          <w:lang w:val="sr-Cyrl-RS"/>
          <w14:textFill>
            <w14:solidFill>
              <w14:schemeClr w14:val="tx1"/>
            </w14:solidFill>
          </w14:textFill>
        </w:rPr>
      </w:pPr>
      <w:r>
        <w:rPr>
          <w:rFonts w:ascii="Times New Roman" w:hAnsi="Times New Roman" w:cs="Times New Roman"/>
          <w:b/>
          <w:bCs/>
          <w:color w:val="000000" w:themeColor="text1"/>
          <w:sz w:val="44"/>
          <w:szCs w:val="44"/>
          <w:lang w:val="sr-Cyrl-RS"/>
          <w14:textFill>
            <w14:solidFill>
              <w14:schemeClr w14:val="tx1"/>
            </w14:solidFill>
          </w14:textFill>
        </w:rPr>
        <w:t>Листа коришћених скраћеница</w:t>
      </w:r>
    </w:p>
    <w:p w14:paraId="7B1D54FD">
      <w:pPr>
        <w:tabs>
          <w:tab w:val="left" w:pos="1418"/>
        </w:tabs>
        <w:rPr>
          <w:rFonts w:ascii="Times New Roman" w:hAnsi="Times New Roman" w:cs="Times New Roman"/>
          <w:b/>
          <w:bCs/>
          <w:color w:val="000000" w:themeColor="text1"/>
          <w:sz w:val="44"/>
          <w:szCs w:val="44"/>
          <w:lang w:val="sr-Cyrl-RS"/>
          <w14:textFill>
            <w14:solidFill>
              <w14:schemeClr w14:val="tx1"/>
            </w14:solidFill>
          </w14:textFill>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7603"/>
      </w:tblGrid>
      <w:tr w14:paraId="19D48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2F525BA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ГИС</w:t>
            </w:r>
          </w:p>
        </w:tc>
        <w:tc>
          <w:tcPr>
            <w:tcW w:w="7603" w:type="dxa"/>
          </w:tcPr>
          <w:p w14:paraId="0594001A">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Географски информациони систем</w:t>
            </w:r>
          </w:p>
        </w:tc>
      </w:tr>
      <w:tr w14:paraId="5E9BB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09A8622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GIZ</w:t>
            </w:r>
          </w:p>
        </w:tc>
        <w:tc>
          <w:tcPr>
            <w:tcW w:w="7603" w:type="dxa"/>
          </w:tcPr>
          <w:p w14:paraId="1BCB3ACE">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Немачко друштво за међународну сарадњу</w:t>
            </w:r>
          </w:p>
        </w:tc>
      </w:tr>
      <w:tr w14:paraId="6AAA5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17DDF5F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IoT</w:t>
            </w:r>
          </w:p>
        </w:tc>
        <w:tc>
          <w:tcPr>
            <w:tcW w:w="7603" w:type="dxa"/>
          </w:tcPr>
          <w:p w14:paraId="3932BDDB">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Internet of Things (интернет ствари</w:t>
            </w:r>
          </w:p>
        </w:tc>
      </w:tr>
      <w:tr w14:paraId="5622C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23E4B9AF">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ИКТ</w:t>
            </w:r>
          </w:p>
        </w:tc>
        <w:tc>
          <w:tcPr>
            <w:tcW w:w="7603" w:type="dxa"/>
          </w:tcPr>
          <w:p w14:paraId="18B440B3">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Информационо-комуникационе технологије</w:t>
            </w:r>
          </w:p>
        </w:tc>
      </w:tr>
      <w:tr w14:paraId="5C2F6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0F990F5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ЈКП</w:t>
            </w:r>
          </w:p>
        </w:tc>
        <w:tc>
          <w:tcPr>
            <w:tcW w:w="7603" w:type="dxa"/>
          </w:tcPr>
          <w:p w14:paraId="7DEF30C8">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Јавно комунално предузеће</w:t>
            </w:r>
          </w:p>
        </w:tc>
      </w:tr>
      <w:tr w14:paraId="7EC4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2257EBC7">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ЈЛС</w:t>
            </w:r>
          </w:p>
        </w:tc>
        <w:tc>
          <w:tcPr>
            <w:tcW w:w="7603" w:type="dxa"/>
          </w:tcPr>
          <w:p w14:paraId="21FCEAB1">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Јединица локалне самоуправе</w:t>
            </w:r>
          </w:p>
        </w:tc>
      </w:tr>
      <w:tr w14:paraId="1E98C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49FF49E9">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ЈПП</w:t>
            </w:r>
          </w:p>
        </w:tc>
        <w:tc>
          <w:tcPr>
            <w:tcW w:w="7603" w:type="dxa"/>
          </w:tcPr>
          <w:p w14:paraId="61C35B77">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Јавно-приватно партнерство</w:t>
            </w:r>
          </w:p>
        </w:tc>
      </w:tr>
      <w:tr w14:paraId="479E1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66F110F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МСП</w:t>
            </w:r>
          </w:p>
        </w:tc>
        <w:tc>
          <w:tcPr>
            <w:tcW w:w="7603" w:type="dxa"/>
          </w:tcPr>
          <w:p w14:paraId="4925BBB0">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Мала и средња предузећа</w:t>
            </w:r>
          </w:p>
        </w:tc>
      </w:tr>
      <w:tr w14:paraId="1B549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1744C65A">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НАЛЕД</w:t>
            </w:r>
          </w:p>
        </w:tc>
        <w:tc>
          <w:tcPr>
            <w:tcW w:w="7603" w:type="dxa"/>
          </w:tcPr>
          <w:p w14:paraId="447A1A6D">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Национална алијанса за локални економски разцој</w:t>
            </w:r>
          </w:p>
        </w:tc>
      </w:tr>
      <w:tr w14:paraId="5A409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17100AE4">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ПДР</w:t>
            </w:r>
          </w:p>
        </w:tc>
        <w:tc>
          <w:tcPr>
            <w:tcW w:w="7603" w:type="dxa"/>
          </w:tcPr>
          <w:p w14:paraId="5D7E8852">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План детаљне регулације</w:t>
            </w:r>
          </w:p>
        </w:tc>
      </w:tr>
      <w:tr w14:paraId="20347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7A81226A">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ПГР</w:t>
            </w:r>
          </w:p>
        </w:tc>
        <w:tc>
          <w:tcPr>
            <w:tcW w:w="7603" w:type="dxa"/>
          </w:tcPr>
          <w:p w14:paraId="471232D2">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План генералне регулације</w:t>
            </w:r>
          </w:p>
        </w:tc>
      </w:tr>
      <w:tr w14:paraId="16C25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1776DC14">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ПП</w:t>
            </w:r>
          </w:p>
        </w:tc>
        <w:tc>
          <w:tcPr>
            <w:tcW w:w="7603" w:type="dxa"/>
          </w:tcPr>
          <w:p w14:paraId="45E5AA48">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Просторни план</w:t>
            </w:r>
          </w:p>
        </w:tc>
      </w:tr>
      <w:tr w14:paraId="172AE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396E2937">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STEM</w:t>
            </w:r>
          </w:p>
        </w:tc>
        <w:tc>
          <w:tcPr>
            <w:tcW w:w="7603" w:type="dxa"/>
          </w:tcPr>
          <w:p w14:paraId="52300489">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Science, Technology, Engineering, Mathematics</w:t>
            </w:r>
          </w:p>
        </w:tc>
      </w:tr>
      <w:tr w14:paraId="6630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642BB27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SWOT</w:t>
            </w:r>
          </w:p>
        </w:tc>
        <w:tc>
          <w:tcPr>
            <w:tcW w:w="7603" w:type="dxa"/>
          </w:tcPr>
          <w:p w14:paraId="7B6B8095">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Анализа предности, недостатака, могућности и претњи</w:t>
            </w:r>
          </w:p>
        </w:tc>
      </w:tr>
      <w:tr w14:paraId="01C01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7B5426EE">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SCADA</w:t>
            </w:r>
          </w:p>
        </w:tc>
        <w:tc>
          <w:tcPr>
            <w:tcW w:w="7603" w:type="dxa"/>
          </w:tcPr>
          <w:p w14:paraId="66666867">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Supervisory Control and Data Acquisition</w:t>
            </w:r>
          </w:p>
        </w:tc>
      </w:tr>
      <w:tr w14:paraId="370B5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FAE2D5" w:themeFill="accent2" w:themeFillTint="33"/>
          </w:tcPr>
          <w:p w14:paraId="428AC9D1">
            <w:pPr>
              <w:tabs>
                <w:tab w:val="left" w:pos="1418"/>
              </w:tabs>
              <w:spacing w:after="0" w:line="240" w:lineRule="auto"/>
              <w:rPr>
                <w:rFonts w:ascii="Times New Roman" w:hAnsi="Times New Roman" w:cs="Times New Roman"/>
                <w:b/>
                <w:bCs/>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TCO</w:t>
            </w:r>
          </w:p>
        </w:tc>
        <w:tc>
          <w:tcPr>
            <w:tcW w:w="7603" w:type="dxa"/>
          </w:tcPr>
          <w:p w14:paraId="616D3EB4">
            <w:pPr>
              <w:tabs>
                <w:tab w:val="left" w:pos="1418"/>
              </w:tabs>
              <w:spacing w:after="0" w:line="240" w:lineRule="auto"/>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Total Cost of Ownership (тоталн трошкови власништва</w:t>
            </w:r>
          </w:p>
        </w:tc>
      </w:tr>
    </w:tbl>
    <w:p w14:paraId="4A67F2B9">
      <w:pPr>
        <w:tabs>
          <w:tab w:val="left" w:pos="1418"/>
        </w:tabs>
        <w:rPr>
          <w:rFonts w:ascii="Times New Roman" w:hAnsi="Times New Roman" w:cs="Times New Roman"/>
          <w:b/>
          <w:bCs/>
          <w:color w:val="000000" w:themeColor="text1"/>
          <w:sz w:val="44"/>
          <w:szCs w:val="44"/>
          <w:lang w:val="sr-Cyrl-RS"/>
          <w14:textFill>
            <w14:solidFill>
              <w14:schemeClr w14:val="tx1"/>
            </w14:solidFill>
          </w14:textFill>
        </w:rPr>
      </w:pPr>
    </w:p>
    <w:p w14:paraId="7B2CD68E">
      <w:pPr>
        <w:tabs>
          <w:tab w:val="left" w:pos="1418"/>
        </w:tabs>
        <w:rPr>
          <w:rFonts w:ascii="Times New Roman" w:hAnsi="Times New Roman" w:cs="Times New Roman"/>
          <w:b/>
          <w:bCs/>
          <w:color w:val="000000" w:themeColor="text1"/>
          <w:sz w:val="44"/>
          <w:szCs w:val="44"/>
          <w:lang w:val="sr-Cyrl-RS"/>
          <w14:textFill>
            <w14:solidFill>
              <w14:schemeClr w14:val="tx1"/>
            </w14:solidFill>
          </w14:textFill>
        </w:rPr>
        <w:sectPr>
          <w:footerReference r:id="rId5" w:type="default"/>
          <w:pgSz w:w="11906" w:h="16838"/>
          <w:pgMar w:top="1440" w:right="1440" w:bottom="1440" w:left="1440" w:header="708" w:footer="708" w:gutter="0"/>
          <w:cols w:space="708" w:num="1"/>
          <w:titlePg/>
          <w:docGrid w:linePitch="360" w:charSpace="0"/>
        </w:sectPr>
      </w:pPr>
    </w:p>
    <w:p w14:paraId="14949305">
      <w:pPr>
        <w:tabs>
          <w:tab w:val="left" w:pos="1418"/>
        </w:tabs>
        <w:rPr>
          <w:rFonts w:ascii="Times New Roman" w:hAnsi="Times New Roman" w:cs="Times New Roman"/>
          <w:b/>
          <w:bCs/>
          <w:color w:val="000000" w:themeColor="text1"/>
          <w:sz w:val="44"/>
          <w:szCs w:val="44"/>
          <w:lang w:val="sr-Cyrl-RS"/>
          <w14:textFill>
            <w14:solidFill>
              <w14:schemeClr w14:val="tx1"/>
            </w14:solidFill>
          </w14:textFill>
        </w:rPr>
      </w:pPr>
      <w:r>
        <w:rPr>
          <w:rFonts w:ascii="Times New Roman" w:hAnsi="Times New Roman" w:cs="Times New Roman"/>
          <w:b/>
          <w:bCs/>
          <w:color w:val="000000" w:themeColor="text1"/>
          <w:sz w:val="44"/>
          <w:szCs w:val="44"/>
          <w:lang w:val="sr-Cyrl-RS"/>
          <w14:textFill>
            <w14:solidFill>
              <w14:schemeClr w14:val="tx1"/>
            </w14:solidFill>
          </w14:textFill>
        </w:rPr>
        <w:t>Садржај</w:t>
      </w:r>
    </w:p>
    <w:sdt>
      <w:sdtPr>
        <w:rPr>
          <w:rFonts w:ascii="Times New Roman" w:hAnsi="Times New Roman" w:cs="Times New Roman" w:eastAsiaTheme="minorHAnsi"/>
          <w:color w:val="000000" w:themeColor="text1"/>
          <w:kern w:val="2"/>
          <w:sz w:val="24"/>
          <w:szCs w:val="24"/>
          <w:lang w:val="sr-Cyrl-RS"/>
          <w14:textFill>
            <w14:solidFill>
              <w14:schemeClr w14:val="tx1"/>
            </w14:solidFill>
          </w14:textFill>
        </w:rPr>
        <w:id w:val="-19014637"/>
        <w:docPartObj>
          <w:docPartGallery w:val="Table of Contents"/>
          <w:docPartUnique/>
        </w:docPartObj>
      </w:sdtPr>
      <w:sdtEndPr>
        <w:rPr>
          <w:rFonts w:ascii="Times New Roman" w:hAnsi="Times New Roman" w:cs="Times New Roman" w:eastAsiaTheme="minorHAnsi"/>
          <w:b/>
          <w:bCs/>
          <w:color w:val="000000" w:themeColor="text1"/>
          <w:kern w:val="2"/>
          <w:sz w:val="24"/>
          <w:szCs w:val="24"/>
          <w:lang w:val="sr-Cyrl-RS"/>
          <w14:textFill>
            <w14:solidFill>
              <w14:schemeClr w14:val="tx1"/>
            </w14:solidFill>
          </w14:textFill>
        </w:rPr>
      </w:sdtEndPr>
      <w:sdtContent>
        <w:p w14:paraId="22D8E3BC">
          <w:pPr>
            <w:pStyle w:val="44"/>
            <w:tabs>
              <w:tab w:val="left" w:pos="1418"/>
            </w:tabs>
            <w:rPr>
              <w:rFonts w:ascii="Times New Roman" w:hAnsi="Times New Roman" w:cs="Times New Roman"/>
              <w:color w:val="000000" w:themeColor="text1"/>
              <w:lang w:val="sr-Cyrl-RS"/>
              <w14:textFill>
                <w14:solidFill>
                  <w14:schemeClr w14:val="tx1"/>
                </w14:solidFill>
              </w14:textFill>
            </w:rPr>
          </w:pPr>
        </w:p>
        <w:p w14:paraId="1EDD6811">
          <w:pPr>
            <w:pStyle w:val="23"/>
            <w:tabs>
              <w:tab w:val="right" w:leader="dot" w:pos="9016"/>
            </w:tabs>
            <w:rPr>
              <w:rFonts w:eastAsiaTheme="minorEastAsia"/>
              <w:kern w:val="0"/>
              <w:sz w:val="22"/>
              <w:szCs w:val="22"/>
              <w:lang w:val="en-GB" w:eastAsia="en-GB"/>
            </w:rPr>
          </w:pPr>
          <w:r>
            <w:rPr>
              <w:rFonts w:ascii="Times New Roman" w:hAnsi="Times New Roman" w:cs="Times New Roman"/>
              <w:color w:val="000000" w:themeColor="text1"/>
              <w:lang w:val="sr-Cyrl-RS"/>
              <w14:textFill>
                <w14:solidFill>
                  <w14:schemeClr w14:val="tx1"/>
                </w14:solidFill>
              </w14:textFill>
            </w:rPr>
            <w:fldChar w:fldCharType="begin"/>
          </w:r>
          <w:r>
            <w:rPr>
              <w:rFonts w:ascii="Times New Roman" w:hAnsi="Times New Roman" w:cs="Times New Roman"/>
              <w:color w:val="000000" w:themeColor="text1"/>
              <w:lang w:val="sr-Cyrl-RS"/>
              <w14:textFill>
                <w14:solidFill>
                  <w14:schemeClr w14:val="tx1"/>
                </w14:solidFill>
              </w14:textFill>
            </w:rPr>
            <w:instrText xml:space="preserve"> TOC \o "1-3" \h \z \u </w:instrText>
          </w:r>
          <w:r>
            <w:rPr>
              <w:rFonts w:ascii="Times New Roman" w:hAnsi="Times New Roman" w:cs="Times New Roman"/>
              <w:color w:val="000000" w:themeColor="text1"/>
              <w:lang w:val="sr-Cyrl-RS"/>
              <w14:textFill>
                <w14:solidFill>
                  <w14:schemeClr w14:val="tx1"/>
                </w14:solidFill>
              </w14:textFill>
            </w:rPr>
            <w:fldChar w:fldCharType="separate"/>
          </w:r>
          <w:r>
            <w:fldChar w:fldCharType="begin"/>
          </w:r>
          <w:r>
            <w:instrText xml:space="preserve"> HYPERLINK \l "_Toc229061105" </w:instrText>
          </w:r>
          <w:r>
            <w:fldChar w:fldCharType="separate"/>
          </w:r>
          <w:r>
            <w:rPr>
              <w:rStyle w:val="18"/>
              <w:lang w:val="sr-Cyrl-RS"/>
            </w:rPr>
            <w:t>Уводна реч градоначелника</w:t>
          </w:r>
          <w:r>
            <w:tab/>
          </w:r>
          <w:r>
            <w:fldChar w:fldCharType="begin"/>
          </w:r>
          <w:r>
            <w:instrText xml:space="preserve"> PAGEREF _Toc229061105 \h </w:instrText>
          </w:r>
          <w:r>
            <w:fldChar w:fldCharType="separate"/>
          </w:r>
          <w:r>
            <w:t>1</w:t>
          </w:r>
          <w:r>
            <w:fldChar w:fldCharType="end"/>
          </w:r>
          <w:r>
            <w:fldChar w:fldCharType="end"/>
          </w:r>
        </w:p>
        <w:p w14:paraId="2EEE29BF">
          <w:pPr>
            <w:pStyle w:val="23"/>
            <w:tabs>
              <w:tab w:val="right" w:leader="dot" w:pos="9016"/>
            </w:tabs>
            <w:rPr>
              <w:rFonts w:eastAsiaTheme="minorEastAsia"/>
              <w:kern w:val="0"/>
              <w:sz w:val="22"/>
              <w:szCs w:val="22"/>
              <w:lang w:val="en-GB" w:eastAsia="en-GB"/>
            </w:rPr>
          </w:pPr>
          <w:r>
            <w:fldChar w:fldCharType="begin"/>
          </w:r>
          <w:r>
            <w:instrText xml:space="preserve"> HYPERLINK \l "_Toc229061106" </w:instrText>
          </w:r>
          <w:r>
            <w:fldChar w:fldCharType="separate"/>
          </w:r>
          <w:r>
            <w:rPr>
              <w:rStyle w:val="18"/>
              <w:lang w:val="sr-Cyrl-RS"/>
            </w:rPr>
            <w:t>Методологија и процес израде плана дигиталне трансформације и развоја паметног града</w:t>
          </w:r>
          <w:r>
            <w:tab/>
          </w:r>
          <w:r>
            <w:fldChar w:fldCharType="begin"/>
          </w:r>
          <w:r>
            <w:instrText xml:space="preserve"> PAGEREF _Toc229061106 \h </w:instrText>
          </w:r>
          <w:r>
            <w:fldChar w:fldCharType="separate"/>
          </w:r>
          <w:r>
            <w:t>2</w:t>
          </w:r>
          <w:r>
            <w:fldChar w:fldCharType="end"/>
          </w:r>
          <w:r>
            <w:fldChar w:fldCharType="end"/>
          </w:r>
        </w:p>
        <w:p w14:paraId="01C44880">
          <w:pPr>
            <w:pStyle w:val="23"/>
            <w:tabs>
              <w:tab w:val="left" w:pos="440"/>
              <w:tab w:val="right" w:leader="dot" w:pos="9016"/>
            </w:tabs>
            <w:rPr>
              <w:rFonts w:eastAsiaTheme="minorEastAsia"/>
              <w:kern w:val="0"/>
              <w:sz w:val="22"/>
              <w:szCs w:val="22"/>
              <w:lang w:val="en-GB" w:eastAsia="en-GB"/>
            </w:rPr>
          </w:pPr>
          <w:r>
            <w:fldChar w:fldCharType="begin"/>
          </w:r>
          <w:r>
            <w:instrText xml:space="preserve"> HYPERLINK \l "_Toc229061107" </w:instrText>
          </w:r>
          <w:r>
            <w:fldChar w:fldCharType="separate"/>
          </w:r>
          <w:r>
            <w:rPr>
              <w:rStyle w:val="18"/>
              <w:lang w:val="sr-Cyrl-RS"/>
            </w:rPr>
            <w:t>1.</w:t>
          </w:r>
          <w:r>
            <w:rPr>
              <w:rFonts w:eastAsiaTheme="minorEastAsia"/>
              <w:kern w:val="0"/>
              <w:sz w:val="22"/>
              <w:szCs w:val="22"/>
              <w:lang w:val="en-GB" w:eastAsia="en-GB"/>
            </w:rPr>
            <w:tab/>
          </w:r>
          <w:r>
            <w:rPr>
              <w:rStyle w:val="18"/>
              <w:lang w:val="sr-Cyrl-RS"/>
            </w:rPr>
            <w:t>Ситуациона анализа</w:t>
          </w:r>
          <w:r>
            <w:tab/>
          </w:r>
          <w:r>
            <w:fldChar w:fldCharType="begin"/>
          </w:r>
          <w:r>
            <w:instrText xml:space="preserve"> PAGEREF _Toc229061107 \h </w:instrText>
          </w:r>
          <w:r>
            <w:fldChar w:fldCharType="separate"/>
          </w:r>
          <w:r>
            <w:t>4</w:t>
          </w:r>
          <w:r>
            <w:fldChar w:fldCharType="end"/>
          </w:r>
          <w:r>
            <w:fldChar w:fldCharType="end"/>
          </w:r>
        </w:p>
        <w:p w14:paraId="621E0E3F">
          <w:pPr>
            <w:pStyle w:val="24"/>
            <w:tabs>
              <w:tab w:val="left" w:pos="880"/>
              <w:tab w:val="right" w:leader="dot" w:pos="9016"/>
            </w:tabs>
            <w:rPr>
              <w:rFonts w:cstheme="minorBidi"/>
              <w:lang w:val="en-GB" w:eastAsia="en-GB"/>
            </w:rPr>
          </w:pPr>
          <w:r>
            <w:fldChar w:fldCharType="begin"/>
          </w:r>
          <w:r>
            <w:instrText xml:space="preserve"> HYPERLINK \l "_Toc229061108" </w:instrText>
          </w:r>
          <w:r>
            <w:fldChar w:fldCharType="separate"/>
          </w:r>
          <w:r>
            <w:rPr>
              <w:rStyle w:val="18"/>
              <w:lang w:val="sr-Cyrl-RS"/>
            </w:rPr>
            <w:t>1.1</w:t>
          </w:r>
          <w:r>
            <w:rPr>
              <w:rFonts w:cstheme="minorBidi"/>
              <w:lang w:val="en-GB" w:eastAsia="en-GB"/>
            </w:rPr>
            <w:tab/>
          </w:r>
          <w:r>
            <w:rPr>
              <w:rStyle w:val="18"/>
              <w:lang w:val="sr-Cyrl-RS"/>
            </w:rPr>
            <w:t>Основне информације о граду</w:t>
          </w:r>
          <w:r>
            <w:tab/>
          </w:r>
          <w:r>
            <w:fldChar w:fldCharType="begin"/>
          </w:r>
          <w:r>
            <w:instrText xml:space="preserve"> PAGEREF _Toc229061108 \h </w:instrText>
          </w:r>
          <w:r>
            <w:fldChar w:fldCharType="separate"/>
          </w:r>
          <w:r>
            <w:t>4</w:t>
          </w:r>
          <w:r>
            <w:fldChar w:fldCharType="end"/>
          </w:r>
          <w:r>
            <w:fldChar w:fldCharType="end"/>
          </w:r>
        </w:p>
        <w:p w14:paraId="36156620">
          <w:pPr>
            <w:pStyle w:val="24"/>
            <w:tabs>
              <w:tab w:val="left" w:pos="880"/>
              <w:tab w:val="right" w:leader="dot" w:pos="9016"/>
            </w:tabs>
            <w:rPr>
              <w:rFonts w:cstheme="minorBidi"/>
              <w:lang w:val="en-GB" w:eastAsia="en-GB"/>
            </w:rPr>
          </w:pPr>
          <w:r>
            <w:fldChar w:fldCharType="begin"/>
          </w:r>
          <w:r>
            <w:instrText xml:space="preserve"> HYPERLINK \l "_Toc229061109" </w:instrText>
          </w:r>
          <w:r>
            <w:fldChar w:fldCharType="separate"/>
          </w:r>
          <w:r>
            <w:rPr>
              <w:rStyle w:val="18"/>
              <w:lang w:val="sr-Cyrl-RS"/>
            </w:rPr>
            <w:t>1.2</w:t>
          </w:r>
          <w:r>
            <w:rPr>
              <w:rFonts w:cstheme="minorBidi"/>
              <w:lang w:val="en-GB" w:eastAsia="en-GB"/>
            </w:rPr>
            <w:tab/>
          </w:r>
          <w:r>
            <w:rPr>
              <w:rStyle w:val="18"/>
              <w:lang w:val="sr-Cyrl-RS"/>
            </w:rPr>
            <w:t>Економски развој</w:t>
          </w:r>
          <w:r>
            <w:tab/>
          </w:r>
          <w:r>
            <w:fldChar w:fldCharType="begin"/>
          </w:r>
          <w:r>
            <w:instrText xml:space="preserve"> PAGEREF _Toc229061109 \h </w:instrText>
          </w:r>
          <w:r>
            <w:fldChar w:fldCharType="separate"/>
          </w:r>
          <w:r>
            <w:t>5</w:t>
          </w:r>
          <w:r>
            <w:fldChar w:fldCharType="end"/>
          </w:r>
          <w:r>
            <w:fldChar w:fldCharType="end"/>
          </w:r>
        </w:p>
        <w:p w14:paraId="6DFB9EEE">
          <w:pPr>
            <w:pStyle w:val="24"/>
            <w:tabs>
              <w:tab w:val="right" w:leader="dot" w:pos="9016"/>
            </w:tabs>
            <w:rPr>
              <w:rFonts w:cstheme="minorBidi"/>
              <w:lang w:val="en-GB" w:eastAsia="en-GB"/>
            </w:rPr>
          </w:pPr>
          <w:r>
            <w:fldChar w:fldCharType="begin"/>
          </w:r>
          <w:r>
            <w:instrText xml:space="preserve"> HYPERLINK \l "_Toc229061110" </w:instrText>
          </w:r>
          <w:r>
            <w:fldChar w:fldCharType="separate"/>
          </w:r>
          <w:r>
            <w:rPr>
              <w:rStyle w:val="18"/>
              <w:lang w:val="sr-Cyrl-RS"/>
            </w:rPr>
            <w:t>1.3 Друштвени развој</w:t>
          </w:r>
          <w:r>
            <w:tab/>
          </w:r>
          <w:r>
            <w:fldChar w:fldCharType="begin"/>
          </w:r>
          <w:r>
            <w:instrText xml:space="preserve"> PAGEREF _Toc229061110 \h </w:instrText>
          </w:r>
          <w:r>
            <w:fldChar w:fldCharType="separate"/>
          </w:r>
          <w:r>
            <w:t>6</w:t>
          </w:r>
          <w:r>
            <w:fldChar w:fldCharType="end"/>
          </w:r>
          <w:r>
            <w:fldChar w:fldCharType="end"/>
          </w:r>
        </w:p>
        <w:p w14:paraId="690D1156">
          <w:pPr>
            <w:pStyle w:val="24"/>
            <w:tabs>
              <w:tab w:val="right" w:leader="dot" w:pos="9016"/>
            </w:tabs>
            <w:rPr>
              <w:rFonts w:cstheme="minorBidi"/>
              <w:lang w:val="en-GB" w:eastAsia="en-GB"/>
            </w:rPr>
          </w:pPr>
          <w:r>
            <w:fldChar w:fldCharType="begin"/>
          </w:r>
          <w:r>
            <w:instrText xml:space="preserve"> HYPERLINK \l "_Toc229061111" </w:instrText>
          </w:r>
          <w:r>
            <w:fldChar w:fldCharType="separate"/>
          </w:r>
          <w:r>
            <w:rPr>
              <w:rStyle w:val="18"/>
              <w:lang w:val="sr-Cyrl-RS"/>
            </w:rPr>
            <w:t>1.4 Урбани развој и заштита животне средине</w:t>
          </w:r>
          <w:r>
            <w:tab/>
          </w:r>
          <w:r>
            <w:fldChar w:fldCharType="begin"/>
          </w:r>
          <w:r>
            <w:instrText xml:space="preserve"> PAGEREF _Toc229061111 \h </w:instrText>
          </w:r>
          <w:r>
            <w:fldChar w:fldCharType="separate"/>
          </w:r>
          <w:r>
            <w:t>7</w:t>
          </w:r>
          <w:r>
            <w:fldChar w:fldCharType="end"/>
          </w:r>
          <w:r>
            <w:fldChar w:fldCharType="end"/>
          </w:r>
        </w:p>
        <w:p w14:paraId="355EFA44">
          <w:pPr>
            <w:pStyle w:val="24"/>
            <w:tabs>
              <w:tab w:val="right" w:leader="dot" w:pos="9016"/>
            </w:tabs>
            <w:rPr>
              <w:rFonts w:cstheme="minorBidi"/>
              <w:lang w:val="en-GB" w:eastAsia="en-GB"/>
            </w:rPr>
          </w:pPr>
          <w:r>
            <w:fldChar w:fldCharType="begin"/>
          </w:r>
          <w:r>
            <w:instrText xml:space="preserve"> HYPERLINK \l "_Toc229061112" </w:instrText>
          </w:r>
          <w:r>
            <w:fldChar w:fldCharType="separate"/>
          </w:r>
          <w:r>
            <w:rPr>
              <w:rStyle w:val="18"/>
              <w:lang w:val="sr-Cyrl-RS"/>
            </w:rPr>
            <w:t>1.5 Градска управа: степен дигиталне трансформације, електронско управљање и примена паметних решења</w:t>
          </w:r>
          <w:r>
            <w:tab/>
          </w:r>
          <w:r>
            <w:fldChar w:fldCharType="begin"/>
          </w:r>
          <w:r>
            <w:instrText xml:space="preserve"> PAGEREF _Toc229061112 \h </w:instrText>
          </w:r>
          <w:r>
            <w:fldChar w:fldCharType="separate"/>
          </w:r>
          <w:r>
            <w:t>8</w:t>
          </w:r>
          <w:r>
            <w:fldChar w:fldCharType="end"/>
          </w:r>
          <w:r>
            <w:fldChar w:fldCharType="end"/>
          </w:r>
        </w:p>
        <w:p w14:paraId="17B3DD5F">
          <w:pPr>
            <w:pStyle w:val="24"/>
            <w:tabs>
              <w:tab w:val="right" w:leader="dot" w:pos="9016"/>
            </w:tabs>
            <w:rPr>
              <w:rFonts w:cstheme="minorBidi"/>
              <w:lang w:val="en-GB" w:eastAsia="en-GB"/>
            </w:rPr>
          </w:pPr>
          <w:r>
            <w:fldChar w:fldCharType="begin"/>
          </w:r>
          <w:r>
            <w:instrText xml:space="preserve"> HYPERLINK \l "_Toc229061113" </w:instrText>
          </w:r>
          <w:r>
            <w:fldChar w:fldCharType="separate"/>
          </w:r>
          <w:r>
            <w:rPr>
              <w:rStyle w:val="18"/>
              <w:lang w:val="sr-Cyrl-RS"/>
            </w:rPr>
            <w:t>1.6 Јавна предузећа и јавне установе</w:t>
          </w:r>
          <w:r>
            <w:tab/>
          </w:r>
          <w:r>
            <w:fldChar w:fldCharType="begin"/>
          </w:r>
          <w:r>
            <w:instrText xml:space="preserve"> PAGEREF _Toc229061113 \h </w:instrText>
          </w:r>
          <w:r>
            <w:fldChar w:fldCharType="separate"/>
          </w:r>
          <w:r>
            <w:t>10</w:t>
          </w:r>
          <w:r>
            <w:fldChar w:fldCharType="end"/>
          </w:r>
          <w:r>
            <w:fldChar w:fldCharType="end"/>
          </w:r>
        </w:p>
        <w:p w14:paraId="6A4030BE">
          <w:pPr>
            <w:pStyle w:val="24"/>
            <w:tabs>
              <w:tab w:val="right" w:leader="dot" w:pos="9016"/>
            </w:tabs>
            <w:rPr>
              <w:rFonts w:cstheme="minorBidi"/>
              <w:lang w:val="en-GB" w:eastAsia="en-GB"/>
            </w:rPr>
          </w:pPr>
          <w:r>
            <w:fldChar w:fldCharType="begin"/>
          </w:r>
          <w:r>
            <w:instrText xml:space="preserve"> HYPERLINK \l "_Toc229061114" </w:instrText>
          </w:r>
          <w:r>
            <w:fldChar w:fldCharType="separate"/>
          </w:r>
          <w:r>
            <w:rPr>
              <w:rStyle w:val="18"/>
              <w:lang w:val="sr-Cyrl-RS"/>
            </w:rPr>
            <w:t>1.7 Могућности за финансирање дигиталне трансформације и развоја паметног града</w:t>
          </w:r>
          <w:r>
            <w:tab/>
          </w:r>
          <w:r>
            <w:fldChar w:fldCharType="begin"/>
          </w:r>
          <w:r>
            <w:instrText xml:space="preserve"> PAGEREF _Toc229061114 \h </w:instrText>
          </w:r>
          <w:r>
            <w:fldChar w:fldCharType="separate"/>
          </w:r>
          <w:r>
            <w:t>11</w:t>
          </w:r>
          <w:r>
            <w:fldChar w:fldCharType="end"/>
          </w:r>
          <w:r>
            <w:fldChar w:fldCharType="end"/>
          </w:r>
        </w:p>
        <w:p w14:paraId="3B9AE1CF">
          <w:pPr>
            <w:pStyle w:val="24"/>
            <w:tabs>
              <w:tab w:val="right" w:leader="dot" w:pos="9016"/>
            </w:tabs>
            <w:rPr>
              <w:rFonts w:cstheme="minorBidi"/>
              <w:lang w:val="en-GB" w:eastAsia="en-GB"/>
            </w:rPr>
          </w:pPr>
          <w:r>
            <w:fldChar w:fldCharType="begin"/>
          </w:r>
          <w:r>
            <w:instrText xml:space="preserve"> HYPERLINK \l "_Toc229061115" </w:instrText>
          </w:r>
          <w:r>
            <w:fldChar w:fldCharType="separate"/>
          </w:r>
          <w:r>
            <w:rPr>
              <w:rStyle w:val="18"/>
              <w:lang w:val="sr-Cyrl-RS"/>
            </w:rPr>
            <w:t>1.8 Праћење и вредновање учинка и ефеката дигиталне трансформације</w:t>
          </w:r>
          <w:r>
            <w:tab/>
          </w:r>
          <w:r>
            <w:fldChar w:fldCharType="begin"/>
          </w:r>
          <w:r>
            <w:instrText xml:space="preserve"> PAGEREF _Toc229061115 \h </w:instrText>
          </w:r>
          <w:r>
            <w:fldChar w:fldCharType="separate"/>
          </w:r>
          <w:r>
            <w:t>12</w:t>
          </w:r>
          <w:r>
            <w:fldChar w:fldCharType="end"/>
          </w:r>
          <w:r>
            <w:fldChar w:fldCharType="end"/>
          </w:r>
        </w:p>
        <w:p w14:paraId="3FD5948C">
          <w:pPr>
            <w:pStyle w:val="24"/>
            <w:tabs>
              <w:tab w:val="right" w:leader="dot" w:pos="9016"/>
            </w:tabs>
            <w:rPr>
              <w:rFonts w:cstheme="minorBidi"/>
              <w:lang w:val="en-GB" w:eastAsia="en-GB"/>
            </w:rPr>
          </w:pPr>
          <w:r>
            <w:fldChar w:fldCharType="begin"/>
          </w:r>
          <w:r>
            <w:instrText xml:space="preserve"> HYPERLINK \l "_Toc229061116" </w:instrText>
          </w:r>
          <w:r>
            <w:fldChar w:fldCharType="separate"/>
          </w:r>
          <w:r>
            <w:rPr>
              <w:rStyle w:val="18"/>
              <w:lang w:val="sr-Cyrl-RS"/>
            </w:rPr>
            <w:t>1.9 Мишљење грађана</w:t>
          </w:r>
          <w:r>
            <w:tab/>
          </w:r>
          <w:r>
            <w:fldChar w:fldCharType="begin"/>
          </w:r>
          <w:r>
            <w:instrText xml:space="preserve"> PAGEREF _Toc229061116 \h </w:instrText>
          </w:r>
          <w:r>
            <w:fldChar w:fldCharType="separate"/>
          </w:r>
          <w:r>
            <w:t>13</w:t>
          </w:r>
          <w:r>
            <w:fldChar w:fldCharType="end"/>
          </w:r>
          <w:r>
            <w:fldChar w:fldCharType="end"/>
          </w:r>
        </w:p>
        <w:p w14:paraId="7FB08A3C">
          <w:pPr>
            <w:pStyle w:val="24"/>
            <w:tabs>
              <w:tab w:val="right" w:leader="dot" w:pos="9016"/>
            </w:tabs>
            <w:rPr>
              <w:rFonts w:cstheme="minorBidi"/>
              <w:lang w:val="en-GB" w:eastAsia="en-GB"/>
            </w:rPr>
          </w:pPr>
          <w:r>
            <w:fldChar w:fldCharType="begin"/>
          </w:r>
          <w:r>
            <w:instrText xml:space="preserve"> HYPERLINK \l "_Toc229061117" </w:instrText>
          </w:r>
          <w:r>
            <w:fldChar w:fldCharType="separate"/>
          </w:r>
          <w:r>
            <w:rPr>
              <w:rStyle w:val="18"/>
              <w:lang w:val="sr-Cyrl-RS"/>
            </w:rPr>
            <w:t>1.10 Закључци и препоруке</w:t>
          </w:r>
          <w:r>
            <w:tab/>
          </w:r>
          <w:r>
            <w:fldChar w:fldCharType="begin"/>
          </w:r>
          <w:r>
            <w:instrText xml:space="preserve"> PAGEREF _Toc229061117 \h </w:instrText>
          </w:r>
          <w:r>
            <w:fldChar w:fldCharType="separate"/>
          </w:r>
          <w:r>
            <w:t>15</w:t>
          </w:r>
          <w:r>
            <w:fldChar w:fldCharType="end"/>
          </w:r>
          <w:r>
            <w:fldChar w:fldCharType="end"/>
          </w:r>
        </w:p>
        <w:p w14:paraId="32B415A9">
          <w:pPr>
            <w:pStyle w:val="24"/>
            <w:tabs>
              <w:tab w:val="right" w:leader="dot" w:pos="9016"/>
            </w:tabs>
            <w:rPr>
              <w:rFonts w:cstheme="minorBidi"/>
              <w:lang w:val="en-GB" w:eastAsia="en-GB"/>
            </w:rPr>
          </w:pPr>
          <w:r>
            <w:fldChar w:fldCharType="begin"/>
          </w:r>
          <w:r>
            <w:instrText xml:space="preserve"> HYPERLINK \l "_Toc229061118" </w:instrText>
          </w:r>
          <w:r>
            <w:fldChar w:fldCharType="separate"/>
          </w:r>
          <w:r>
            <w:rPr>
              <w:rStyle w:val="18"/>
              <w:lang w:val="sr-Cyrl-RS"/>
            </w:rPr>
            <w:t>1.11 SWOT анализа – снаге, слабости, могућности и претње за развој паметног града и дигиталну трансформацију</w:t>
          </w:r>
          <w:r>
            <w:tab/>
          </w:r>
          <w:r>
            <w:fldChar w:fldCharType="begin"/>
          </w:r>
          <w:r>
            <w:instrText xml:space="preserve"> PAGEREF _Toc229061118 \h </w:instrText>
          </w:r>
          <w:r>
            <w:fldChar w:fldCharType="separate"/>
          </w:r>
          <w:r>
            <w:t>18</w:t>
          </w:r>
          <w:r>
            <w:fldChar w:fldCharType="end"/>
          </w:r>
          <w:r>
            <w:fldChar w:fldCharType="end"/>
          </w:r>
        </w:p>
        <w:p w14:paraId="41AFC398">
          <w:pPr>
            <w:pStyle w:val="23"/>
            <w:tabs>
              <w:tab w:val="left" w:pos="440"/>
              <w:tab w:val="right" w:leader="dot" w:pos="9016"/>
            </w:tabs>
            <w:rPr>
              <w:rFonts w:eastAsiaTheme="minorEastAsia"/>
              <w:kern w:val="0"/>
              <w:sz w:val="22"/>
              <w:szCs w:val="22"/>
              <w:lang w:val="en-GB" w:eastAsia="en-GB"/>
            </w:rPr>
          </w:pPr>
          <w:r>
            <w:fldChar w:fldCharType="begin"/>
          </w:r>
          <w:r>
            <w:instrText xml:space="preserve"> HYPERLINK \l "_Toc229061119" </w:instrText>
          </w:r>
          <w:r>
            <w:fldChar w:fldCharType="separate"/>
          </w:r>
          <w:r>
            <w:rPr>
              <w:rStyle w:val="18"/>
              <w:lang w:val="sr-Cyrl-RS"/>
            </w:rPr>
            <w:t>2.</w:t>
          </w:r>
          <w:r>
            <w:rPr>
              <w:rFonts w:eastAsiaTheme="minorEastAsia"/>
              <w:kern w:val="0"/>
              <w:sz w:val="22"/>
              <w:szCs w:val="22"/>
              <w:lang w:val="en-GB" w:eastAsia="en-GB"/>
            </w:rPr>
            <w:tab/>
          </w:r>
          <w:r>
            <w:rPr>
              <w:rStyle w:val="18"/>
              <w:lang w:val="sr-Cyrl-RS"/>
            </w:rPr>
            <w:t>Визија, мисија и приоритени циљеви дигиталне трансформације и развоја паметног града</w:t>
          </w:r>
          <w:r>
            <w:tab/>
          </w:r>
          <w:r>
            <w:fldChar w:fldCharType="begin"/>
          </w:r>
          <w:r>
            <w:instrText xml:space="preserve"> PAGEREF _Toc229061119 \h </w:instrText>
          </w:r>
          <w:r>
            <w:fldChar w:fldCharType="separate"/>
          </w:r>
          <w:r>
            <w:t>20</w:t>
          </w:r>
          <w:r>
            <w:fldChar w:fldCharType="end"/>
          </w:r>
          <w:r>
            <w:fldChar w:fldCharType="end"/>
          </w:r>
        </w:p>
        <w:p w14:paraId="0EEF77D6">
          <w:pPr>
            <w:pStyle w:val="24"/>
            <w:tabs>
              <w:tab w:val="right" w:leader="dot" w:pos="9016"/>
            </w:tabs>
            <w:rPr>
              <w:rFonts w:cstheme="minorBidi"/>
              <w:lang w:val="en-GB" w:eastAsia="en-GB"/>
            </w:rPr>
          </w:pPr>
          <w:r>
            <w:fldChar w:fldCharType="begin"/>
          </w:r>
          <w:r>
            <w:instrText xml:space="preserve"> HYPERLINK \l "_Toc229061120" </w:instrText>
          </w:r>
          <w:r>
            <w:fldChar w:fldCharType="separate"/>
          </w:r>
          <w:r>
            <w:rPr>
              <w:rStyle w:val="18"/>
              <w:lang w:val="sr-Cyrl-RS"/>
            </w:rPr>
            <w:t>2.1 Визија</w:t>
          </w:r>
          <w:r>
            <w:tab/>
          </w:r>
          <w:r>
            <w:fldChar w:fldCharType="begin"/>
          </w:r>
          <w:r>
            <w:instrText xml:space="preserve"> PAGEREF _Toc229061120 \h </w:instrText>
          </w:r>
          <w:r>
            <w:fldChar w:fldCharType="separate"/>
          </w:r>
          <w:r>
            <w:t>20</w:t>
          </w:r>
          <w:r>
            <w:fldChar w:fldCharType="end"/>
          </w:r>
          <w:r>
            <w:fldChar w:fldCharType="end"/>
          </w:r>
        </w:p>
        <w:p w14:paraId="13D50983">
          <w:pPr>
            <w:pStyle w:val="24"/>
            <w:tabs>
              <w:tab w:val="right" w:leader="dot" w:pos="9016"/>
            </w:tabs>
            <w:rPr>
              <w:rFonts w:cstheme="minorBidi"/>
              <w:lang w:val="en-GB" w:eastAsia="en-GB"/>
            </w:rPr>
          </w:pPr>
          <w:r>
            <w:fldChar w:fldCharType="begin"/>
          </w:r>
          <w:r>
            <w:instrText xml:space="preserve"> HYPERLINK \l "_Toc229061121" </w:instrText>
          </w:r>
          <w:r>
            <w:fldChar w:fldCharType="separate"/>
          </w:r>
          <w:r>
            <w:rPr>
              <w:rStyle w:val="18"/>
              <w:lang w:val="sr-Cyrl-RS"/>
            </w:rPr>
            <w:t>2.2  Мисија</w:t>
          </w:r>
          <w:r>
            <w:tab/>
          </w:r>
          <w:r>
            <w:fldChar w:fldCharType="begin"/>
          </w:r>
          <w:r>
            <w:instrText xml:space="preserve"> PAGEREF _Toc229061121 \h </w:instrText>
          </w:r>
          <w:r>
            <w:fldChar w:fldCharType="separate"/>
          </w:r>
          <w:r>
            <w:t>20</w:t>
          </w:r>
          <w:r>
            <w:fldChar w:fldCharType="end"/>
          </w:r>
          <w:r>
            <w:fldChar w:fldCharType="end"/>
          </w:r>
        </w:p>
        <w:p w14:paraId="6EDAA5FA">
          <w:pPr>
            <w:pStyle w:val="24"/>
            <w:tabs>
              <w:tab w:val="right" w:leader="dot" w:pos="9016"/>
            </w:tabs>
            <w:rPr>
              <w:rFonts w:cstheme="minorBidi"/>
              <w:lang w:val="en-GB" w:eastAsia="en-GB"/>
            </w:rPr>
          </w:pPr>
          <w:r>
            <w:fldChar w:fldCharType="begin"/>
          </w:r>
          <w:r>
            <w:instrText xml:space="preserve"> HYPERLINK \l "_Toc229061122" </w:instrText>
          </w:r>
          <w:r>
            <w:fldChar w:fldCharType="separate"/>
          </w:r>
          <w:r>
            <w:rPr>
              <w:rStyle w:val="18"/>
              <w:lang w:val="sr-Cyrl-RS"/>
            </w:rPr>
            <w:t>2.3 Приоритетни циљеви</w:t>
          </w:r>
          <w:r>
            <w:tab/>
          </w:r>
          <w:r>
            <w:fldChar w:fldCharType="begin"/>
          </w:r>
          <w:r>
            <w:instrText xml:space="preserve"> PAGEREF _Toc229061122 \h </w:instrText>
          </w:r>
          <w:r>
            <w:fldChar w:fldCharType="separate"/>
          </w:r>
          <w:r>
            <w:t>21</w:t>
          </w:r>
          <w:r>
            <w:fldChar w:fldCharType="end"/>
          </w:r>
          <w:r>
            <w:fldChar w:fldCharType="end"/>
          </w:r>
        </w:p>
        <w:p w14:paraId="551E5B49">
          <w:pPr>
            <w:pStyle w:val="23"/>
            <w:tabs>
              <w:tab w:val="right" w:leader="dot" w:pos="9016"/>
            </w:tabs>
            <w:rPr>
              <w:rFonts w:eastAsiaTheme="minorEastAsia"/>
              <w:kern w:val="0"/>
              <w:sz w:val="22"/>
              <w:szCs w:val="22"/>
              <w:lang w:val="en-GB" w:eastAsia="en-GB"/>
            </w:rPr>
          </w:pPr>
          <w:r>
            <w:fldChar w:fldCharType="begin"/>
          </w:r>
          <w:r>
            <w:instrText xml:space="preserve"> HYPERLINK \l "_Toc229061123" </w:instrText>
          </w:r>
          <w:r>
            <w:fldChar w:fldCharType="separate"/>
          </w:r>
          <w:r>
            <w:rPr>
              <w:rStyle w:val="18"/>
              <w:lang w:val="sr-Cyrl-RS"/>
            </w:rPr>
            <w:t>3. Оквир за спровођење Плана дигиталне трансфoрмације и развоја паметног града</w:t>
          </w:r>
          <w:r>
            <w:tab/>
          </w:r>
          <w:r>
            <w:fldChar w:fldCharType="begin"/>
          </w:r>
          <w:r>
            <w:instrText xml:space="preserve"> PAGEREF _Toc229061123 \h </w:instrText>
          </w:r>
          <w:r>
            <w:fldChar w:fldCharType="separate"/>
          </w:r>
          <w:r>
            <w:t>27</w:t>
          </w:r>
          <w:r>
            <w:fldChar w:fldCharType="end"/>
          </w:r>
          <w:r>
            <w:fldChar w:fldCharType="end"/>
          </w:r>
        </w:p>
        <w:p w14:paraId="08A0D5EA">
          <w:pPr>
            <w:pStyle w:val="24"/>
            <w:tabs>
              <w:tab w:val="right" w:leader="dot" w:pos="9016"/>
            </w:tabs>
            <w:rPr>
              <w:rFonts w:cstheme="minorBidi"/>
              <w:lang w:val="en-GB" w:eastAsia="en-GB"/>
            </w:rPr>
          </w:pPr>
          <w:r>
            <w:fldChar w:fldCharType="begin"/>
          </w:r>
          <w:r>
            <w:instrText xml:space="preserve"> HYPERLINK \l "_Toc229061124" </w:instrText>
          </w:r>
          <w:r>
            <w:fldChar w:fldCharType="separate"/>
          </w:r>
          <w:r>
            <w:rPr>
              <w:rStyle w:val="18"/>
              <w:lang w:val="sr-Cyrl-RS"/>
            </w:rPr>
            <w:t>3.1 Организација процеса, улоге и одговорности</w:t>
          </w:r>
          <w:r>
            <w:tab/>
          </w:r>
          <w:r>
            <w:fldChar w:fldCharType="begin"/>
          </w:r>
          <w:r>
            <w:instrText xml:space="preserve"> PAGEREF _Toc229061124 \h </w:instrText>
          </w:r>
          <w:r>
            <w:fldChar w:fldCharType="separate"/>
          </w:r>
          <w:r>
            <w:t>27</w:t>
          </w:r>
          <w:r>
            <w:fldChar w:fldCharType="end"/>
          </w:r>
          <w:r>
            <w:fldChar w:fldCharType="end"/>
          </w:r>
        </w:p>
        <w:p w14:paraId="1D3B360C">
          <w:pPr>
            <w:pStyle w:val="24"/>
            <w:tabs>
              <w:tab w:val="right" w:leader="dot" w:pos="9016"/>
            </w:tabs>
            <w:rPr>
              <w:rFonts w:cstheme="minorBidi"/>
              <w:lang w:val="en-GB" w:eastAsia="en-GB"/>
            </w:rPr>
          </w:pPr>
          <w:r>
            <w:fldChar w:fldCharType="begin"/>
          </w:r>
          <w:r>
            <w:instrText xml:space="preserve"> HYPERLINK \l "_Toc229061125" </w:instrText>
          </w:r>
          <w:r>
            <w:fldChar w:fldCharType="separate"/>
          </w:r>
          <w:r>
            <w:rPr>
              <w:rStyle w:val="18"/>
              <w:lang w:val="sr-Cyrl-RS"/>
            </w:rPr>
            <w:t>3.2 Подршка у процесу реализације</w:t>
          </w:r>
          <w:r>
            <w:tab/>
          </w:r>
          <w:r>
            <w:fldChar w:fldCharType="begin"/>
          </w:r>
          <w:r>
            <w:instrText xml:space="preserve"> PAGEREF _Toc229061125 \h </w:instrText>
          </w:r>
          <w:r>
            <w:fldChar w:fldCharType="separate"/>
          </w:r>
          <w:r>
            <w:t>28</w:t>
          </w:r>
          <w:r>
            <w:fldChar w:fldCharType="end"/>
          </w:r>
          <w:r>
            <w:fldChar w:fldCharType="end"/>
          </w:r>
        </w:p>
        <w:p w14:paraId="03951B24">
          <w:pPr>
            <w:pStyle w:val="24"/>
            <w:tabs>
              <w:tab w:val="right" w:leader="dot" w:pos="9016"/>
            </w:tabs>
            <w:rPr>
              <w:rFonts w:cstheme="minorBidi"/>
              <w:lang w:val="en-GB" w:eastAsia="en-GB"/>
            </w:rPr>
          </w:pPr>
          <w:r>
            <w:fldChar w:fldCharType="begin"/>
          </w:r>
          <w:r>
            <w:instrText xml:space="preserve"> HYPERLINK \l "_Toc229061126" </w:instrText>
          </w:r>
          <w:r>
            <w:fldChar w:fldCharType="separate"/>
          </w:r>
          <w:r>
            <w:rPr>
              <w:rStyle w:val="18"/>
              <w:lang w:val="sr-Cyrl-RS"/>
            </w:rPr>
            <w:t>3.3 План праћења, вредновања и извештавања</w:t>
          </w:r>
          <w:r>
            <w:tab/>
          </w:r>
          <w:r>
            <w:fldChar w:fldCharType="begin"/>
          </w:r>
          <w:r>
            <w:instrText xml:space="preserve"> PAGEREF _Toc229061126 \h </w:instrText>
          </w:r>
          <w:r>
            <w:fldChar w:fldCharType="separate"/>
          </w:r>
          <w:r>
            <w:t>30</w:t>
          </w:r>
          <w:r>
            <w:fldChar w:fldCharType="end"/>
          </w:r>
          <w:r>
            <w:fldChar w:fldCharType="end"/>
          </w:r>
        </w:p>
        <w:p w14:paraId="0A3EF113">
          <w:pPr>
            <w:pStyle w:val="24"/>
            <w:tabs>
              <w:tab w:val="right" w:leader="dot" w:pos="9016"/>
            </w:tabs>
            <w:rPr>
              <w:rFonts w:cstheme="minorBidi"/>
              <w:lang w:val="en-GB" w:eastAsia="en-GB"/>
            </w:rPr>
          </w:pPr>
          <w:r>
            <w:fldChar w:fldCharType="begin"/>
          </w:r>
          <w:r>
            <w:instrText xml:space="preserve"> HYPERLINK \l "_Toc229061127" </w:instrText>
          </w:r>
          <w:r>
            <w:fldChar w:fldCharType="separate"/>
          </w:r>
          <w:r>
            <w:rPr>
              <w:rStyle w:val="18"/>
              <w:lang w:val="sr-Cyrl-RS"/>
            </w:rPr>
            <w:t>3.4 Управљање ризицима</w:t>
          </w:r>
          <w:r>
            <w:tab/>
          </w:r>
          <w:r>
            <w:fldChar w:fldCharType="begin"/>
          </w:r>
          <w:r>
            <w:instrText xml:space="preserve"> PAGEREF _Toc229061127 \h </w:instrText>
          </w:r>
          <w:r>
            <w:fldChar w:fldCharType="separate"/>
          </w:r>
          <w:r>
            <w:t>33</w:t>
          </w:r>
          <w:r>
            <w:fldChar w:fldCharType="end"/>
          </w:r>
          <w:r>
            <w:fldChar w:fldCharType="end"/>
          </w:r>
        </w:p>
        <w:p w14:paraId="2BB313D6">
          <w:pPr>
            <w:pStyle w:val="24"/>
            <w:tabs>
              <w:tab w:val="right" w:leader="dot" w:pos="9016"/>
            </w:tabs>
            <w:rPr>
              <w:rFonts w:cstheme="minorBidi"/>
              <w:lang w:val="en-GB" w:eastAsia="en-GB"/>
            </w:rPr>
          </w:pPr>
          <w:r>
            <w:fldChar w:fldCharType="begin"/>
          </w:r>
          <w:r>
            <w:instrText xml:space="preserve"> HYPERLINK \l "_Toc229061128" </w:instrText>
          </w:r>
          <w:r>
            <w:fldChar w:fldCharType="separate"/>
          </w:r>
          <w:r>
            <w:rPr>
              <w:rStyle w:val="18"/>
              <w:lang w:val="sr-Cyrl-RS"/>
            </w:rPr>
            <w:t>3.5 План комуникације</w:t>
          </w:r>
          <w:r>
            <w:tab/>
          </w:r>
          <w:r>
            <w:fldChar w:fldCharType="begin"/>
          </w:r>
          <w:r>
            <w:instrText xml:space="preserve"> PAGEREF _Toc229061128 \h </w:instrText>
          </w:r>
          <w:r>
            <w:fldChar w:fldCharType="separate"/>
          </w:r>
          <w:r>
            <w:t>34</w:t>
          </w:r>
          <w:r>
            <w:fldChar w:fldCharType="end"/>
          </w:r>
          <w:r>
            <w:fldChar w:fldCharType="end"/>
          </w:r>
        </w:p>
        <w:p w14:paraId="100CB97C">
          <w:pPr>
            <w:pStyle w:val="23"/>
            <w:tabs>
              <w:tab w:val="right" w:leader="dot" w:pos="9016"/>
            </w:tabs>
            <w:rPr>
              <w:rFonts w:eastAsiaTheme="minorEastAsia"/>
              <w:kern w:val="0"/>
              <w:sz w:val="22"/>
              <w:szCs w:val="22"/>
              <w:lang w:val="en-GB" w:eastAsia="en-GB"/>
            </w:rPr>
          </w:pPr>
          <w:r>
            <w:fldChar w:fldCharType="begin"/>
          </w:r>
          <w:r>
            <w:instrText xml:space="preserve"> HYPERLINK \l "_Toc229061129" </w:instrText>
          </w:r>
          <w:r>
            <w:fldChar w:fldCharType="separate"/>
          </w:r>
          <w:r>
            <w:rPr>
              <w:rStyle w:val="18"/>
              <w:lang w:val="sr-Cyrl-RS"/>
            </w:rPr>
            <w:t>4. Мере, пројекти и паметна решења</w:t>
          </w:r>
          <w:r>
            <w:tab/>
          </w:r>
          <w:r>
            <w:fldChar w:fldCharType="begin"/>
          </w:r>
          <w:r>
            <w:instrText xml:space="preserve"> PAGEREF _Toc229061129 \h </w:instrText>
          </w:r>
          <w:r>
            <w:fldChar w:fldCharType="separate"/>
          </w:r>
          <w:r>
            <w:t>36</w:t>
          </w:r>
          <w:r>
            <w:fldChar w:fldCharType="end"/>
          </w:r>
          <w:r>
            <w:fldChar w:fldCharType="end"/>
          </w:r>
        </w:p>
        <w:p w14:paraId="600D6C70">
          <w:pPr>
            <w:tabs>
              <w:tab w:val="left" w:pos="1418"/>
            </w:tabs>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fldChar w:fldCharType="end"/>
          </w:r>
        </w:p>
      </w:sdtContent>
    </w:sdt>
    <w:p w14:paraId="455331B3">
      <w:pPr>
        <w:tabs>
          <w:tab w:val="left" w:pos="1418"/>
        </w:tabs>
        <w:rPr>
          <w:color w:val="000000" w:themeColor="text1"/>
          <w:lang w:val="sr-Cyrl-RS"/>
          <w14:textFill>
            <w14:solidFill>
              <w14:schemeClr w14:val="tx1"/>
            </w14:solidFill>
          </w14:textFill>
        </w:rPr>
      </w:pPr>
    </w:p>
    <w:p w14:paraId="7B98D634">
      <w:pPr>
        <w:tabs>
          <w:tab w:val="left" w:pos="1418"/>
        </w:tabs>
        <w:rPr>
          <w:color w:val="000000" w:themeColor="text1"/>
          <w:lang w:val="sr-Cyrl-RS"/>
          <w14:textFill>
            <w14:solidFill>
              <w14:schemeClr w14:val="tx1"/>
            </w14:solidFill>
          </w14:textFill>
        </w:rPr>
        <w:sectPr>
          <w:headerReference r:id="rId7" w:type="first"/>
          <w:footerReference r:id="rId9" w:type="first"/>
          <w:headerReference r:id="rId6" w:type="default"/>
          <w:footerReference r:id="rId8" w:type="default"/>
          <w:pgSz w:w="11906" w:h="16838"/>
          <w:pgMar w:top="1440" w:right="1440" w:bottom="1440" w:left="1440" w:header="708" w:footer="708" w:gutter="0"/>
          <w:pgNumType w:start="1"/>
          <w:cols w:space="708" w:num="1"/>
          <w:titlePg/>
          <w:docGrid w:linePitch="360" w:charSpace="0"/>
        </w:sectPr>
      </w:pPr>
    </w:p>
    <w:p w14:paraId="1F9A20F7">
      <w:pPr>
        <w:pStyle w:val="2"/>
        <w:rPr>
          <w:color w:val="auto"/>
          <w:lang w:val="sr-Cyrl-RS"/>
        </w:rPr>
      </w:pPr>
      <w:bookmarkStart w:id="0" w:name="_Toc229061105"/>
      <w:r>
        <w:rPr>
          <w:color w:val="auto"/>
          <w:lang w:val="sr-Cyrl-RS"/>
        </w:rPr>
        <w:t>Уводна реч градоначелника</w:t>
      </w:r>
      <w:bookmarkEnd w:id="0"/>
    </w:p>
    <w:p w14:paraId="76EF6451">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35F4C3C0">
      <w:pPr>
        <w:tabs>
          <w:tab w:val="left" w:pos="1418"/>
        </w:tabs>
        <w:rPr>
          <w:rFonts w:ascii="Times New Roman" w:hAnsi="Times New Roman" w:cs="Times New Roman"/>
          <w:color w:val="000000" w:themeColor="text1"/>
          <w:lang w:val="sr-Cyrl-RS"/>
          <w14:textFill>
            <w14:solidFill>
              <w14:schemeClr w14:val="tx1"/>
            </w14:solidFill>
          </w14:textFill>
        </w:rPr>
      </w:pPr>
    </w:p>
    <w:p w14:paraId="0A066A01">
      <w:pPr>
        <w:tabs>
          <w:tab w:val="left" w:pos="1418"/>
        </w:tabs>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Поштовани суграђани,</w:t>
      </w:r>
    </w:p>
    <w:p w14:paraId="331D6641">
      <w:pPr>
        <w:tabs>
          <w:tab w:val="left" w:pos="1418"/>
        </w:tabs>
        <w:rPr>
          <w:rFonts w:ascii="Times New Roman" w:hAnsi="Times New Roman" w:cs="Times New Roman"/>
          <w:color w:val="000000" w:themeColor="text1"/>
          <w:lang w:val="sr-Cyrl-RS"/>
          <w14:textFill>
            <w14:solidFill>
              <w14:schemeClr w14:val="tx1"/>
            </w14:solidFill>
          </w14:textFill>
        </w:rPr>
      </w:pPr>
    </w:p>
    <w:p w14:paraId="09E8A6CE">
      <w:pPr>
        <w:tabs>
          <w:tab w:val="left" w:pos="1418"/>
        </w:tabs>
        <w:jc w:val="both"/>
        <w:rPr>
          <w:rFonts w:ascii="Times New Roman" w:hAnsi="Times New Roman" w:cs="Times New Roman"/>
          <w:color w:val="000000" w:themeColor="text1"/>
          <w:lang w:val="sr-Cyrl-RS"/>
          <w14:textFill>
            <w14:solidFill>
              <w14:schemeClr w14:val="tx1"/>
            </w14:solidFill>
          </w14:textFill>
        </w:rPr>
      </w:pPr>
      <w:r>
        <w:rPr>
          <w:color w:val="000000" w:themeColor="text1"/>
          <w:lang w:val="en-GB"/>
          <w14:textFill>
            <w14:solidFill>
              <w14:schemeClr w14:val="tx1"/>
            </w14:solidFill>
          </w14:textFill>
        </w:rPr>
        <w:drawing>
          <wp:anchor distT="0" distB="0" distL="114300" distR="114300" simplePos="0" relativeHeight="251659264" behindDoc="0" locked="0" layoutInCell="1" allowOverlap="1">
            <wp:simplePos x="0" y="0"/>
            <wp:positionH relativeFrom="margin">
              <wp:align>right</wp:align>
            </wp:positionH>
            <wp:positionV relativeFrom="paragraph">
              <wp:posOffset>31115</wp:posOffset>
            </wp:positionV>
            <wp:extent cx="2361565" cy="1572260"/>
            <wp:effectExtent l="0" t="0" r="635" b="8890"/>
            <wp:wrapSquare wrapText="bothSides"/>
            <wp:docPr id="1" name="Picture 1" descr="C:\Users\Neo-User1\Downloads\gradonačelnik mr Vladan Vasi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Neo-User1\Downloads\gradonačelnik mr Vladan Vasić.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61565" cy="1572260"/>
                    </a:xfrm>
                    <a:prstGeom prst="rect">
                      <a:avLst/>
                    </a:prstGeom>
                    <a:noFill/>
                    <a:ln>
                      <a:noFill/>
                    </a:ln>
                  </pic:spPr>
                </pic:pic>
              </a:graphicData>
            </a:graphic>
          </wp:anchor>
        </w:drawing>
      </w:r>
      <w:r>
        <w:rPr>
          <w:rFonts w:ascii="Times New Roman" w:hAnsi="Times New Roman" w:cs="Times New Roman"/>
          <w:color w:val="000000" w:themeColor="text1"/>
          <w:lang w:val="sr-Cyrl-RS"/>
          <w14:textFill>
            <w14:solidFill>
              <w14:schemeClr w14:val="tx1"/>
            </w14:solidFill>
          </w14:textFill>
        </w:rPr>
        <w:t>Пред вама је План дигиталне трансформације и развоја паметног града Пирота за  период 2026–2030. године.</w:t>
      </w:r>
    </w:p>
    <w:p w14:paraId="56248AF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Овај план има једноставан циљ – да Пирот учинимо још бољим местом за живот. Да услуге буду брже и доступније, да администрација буде једноставнија, а да град ефикасније користи своје ресурсе.</w:t>
      </w:r>
    </w:p>
    <w:p w14:paraId="11A4330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Паметан град није само технологија. То је град који користи савремена решења да би боље служио својим грађанима – да се проблеми брже решавају, да системи функционишу поузданије и да свакодневни живот буде једноставнији.</w:t>
      </w:r>
    </w:p>
    <w:p w14:paraId="36B2F35B">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Овај документ је резултат заједничког рада – институција, јавних предузећа, стручњака и, што је најважније, наших грађана. Кроз јавне консултације и дијалог дефинисали смо приоритете који одговарају стварним потребама нашег града.</w:t>
      </w:r>
    </w:p>
    <w:p w14:paraId="3CD0DABD">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наредним годинама фокусираћемо се на конкретне пројекте: дигиталне услуге за грађане, паметно управљање саобраћајем и инфраструктуром, унапређење животне средине и подршку развоју привреде.</w:t>
      </w:r>
    </w:p>
    <w:p w14:paraId="2C988587">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Наш циљ је јасан – да Пирот буде модеран, ефикасан и одговоран град који користи технологију у служби својих грађана.</w:t>
      </w:r>
    </w:p>
    <w:p w14:paraId="34F4A51D">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Пред нама је важан посао, али и велика прилика да заједно направимо корак напред.</w:t>
      </w:r>
    </w:p>
    <w:p w14:paraId="286F2A1F">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Паметан град није онај који има највише технологије, већ онај у коме се најбоље живи.</w:t>
      </w:r>
    </w:p>
    <w:p w14:paraId="4BAF9FE8">
      <w:pPr>
        <w:tabs>
          <w:tab w:val="left" w:pos="1418"/>
        </w:tabs>
        <w:jc w:val="right"/>
        <w:rPr>
          <w:rFonts w:ascii="Times New Roman" w:hAnsi="Times New Roman" w:cs="Times New Roman"/>
          <w:color w:val="000000" w:themeColor="text1"/>
          <w:lang w:val="sr-Cyrl-RS"/>
          <w14:textFill>
            <w14:solidFill>
              <w14:schemeClr w14:val="tx1"/>
            </w14:solidFill>
          </w14:textFill>
        </w:rPr>
      </w:pPr>
    </w:p>
    <w:p w14:paraId="2B966D69">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мр Владан Васић</w:t>
      </w:r>
    </w:p>
    <w:p w14:paraId="7466CEF8">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Градоначелник Пирота</w:t>
      </w:r>
    </w:p>
    <w:p w14:paraId="67B7DF41">
      <w:pPr>
        <w:tabs>
          <w:tab w:val="left" w:pos="1418"/>
        </w:tabs>
        <w:jc w:val="right"/>
        <w:rPr>
          <w:rFonts w:ascii="Times New Roman" w:hAnsi="Times New Roman" w:cs="Times New Roman"/>
          <w:color w:val="000000" w:themeColor="text1"/>
          <w:lang w:val="sr-Cyrl-RS"/>
          <w14:textFill>
            <w14:solidFill>
              <w14:schemeClr w14:val="tx1"/>
            </w14:solidFill>
          </w14:textFill>
        </w:rPr>
      </w:pPr>
    </w:p>
    <w:p w14:paraId="62588547">
      <w:pPr>
        <w:tabs>
          <w:tab w:val="left" w:pos="1418"/>
          <w:tab w:val="left" w:pos="7357"/>
        </w:tabs>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ab/>
      </w:r>
      <w:r>
        <w:rPr>
          <w:rFonts w:ascii="Times New Roman" w:hAnsi="Times New Roman" w:cs="Times New Roman"/>
          <w:color w:val="000000" w:themeColor="text1"/>
          <w:lang w:val="sr-Cyrl-RS"/>
          <w14:textFill>
            <w14:solidFill>
              <w14:schemeClr w14:val="tx1"/>
            </w14:solidFill>
          </w14:textFill>
        </w:rPr>
        <w:tab/>
      </w:r>
    </w:p>
    <w:p w14:paraId="78FDDD64">
      <w:pPr>
        <w:tabs>
          <w:tab w:val="left" w:pos="1418"/>
        </w:tabs>
        <w:jc w:val="right"/>
        <w:rPr>
          <w:rFonts w:ascii="Times New Roman" w:hAnsi="Times New Roman" w:cs="Times New Roman"/>
          <w:color w:val="000000" w:themeColor="text1"/>
          <w:lang w:val="sr-Cyrl-RS"/>
          <w14:textFill>
            <w14:solidFill>
              <w14:schemeClr w14:val="tx1"/>
            </w14:solidFill>
          </w14:textFill>
        </w:rPr>
      </w:pPr>
    </w:p>
    <w:p w14:paraId="3E23350C">
      <w:pPr>
        <w:tabs>
          <w:tab w:val="left" w:pos="1418"/>
        </w:tabs>
        <w:jc w:val="right"/>
        <w:rPr>
          <w:rFonts w:ascii="Times New Roman" w:hAnsi="Times New Roman" w:cs="Times New Roman"/>
          <w:color w:val="000000" w:themeColor="text1"/>
          <w:lang w:val="sr-Cyrl-RS"/>
          <w14:textFill>
            <w14:solidFill>
              <w14:schemeClr w14:val="tx1"/>
            </w14:solidFill>
          </w14:textFill>
        </w:rPr>
      </w:pPr>
    </w:p>
    <w:p w14:paraId="122D05D5">
      <w:pPr>
        <w:pStyle w:val="2"/>
        <w:tabs>
          <w:tab w:val="left" w:pos="1418"/>
        </w:tabs>
        <w:rPr>
          <w:color w:val="000000" w:themeColor="text1"/>
          <w:lang w:val="sr-Cyrl-RS"/>
          <w14:textFill>
            <w14:solidFill>
              <w14:schemeClr w14:val="tx1"/>
            </w14:solidFill>
          </w14:textFill>
        </w:rPr>
      </w:pPr>
      <w:bookmarkStart w:id="1" w:name="_Toc229061106"/>
      <w:r>
        <w:rPr>
          <w:color w:val="000000" w:themeColor="text1"/>
          <w:lang w:val="sr-Cyrl-RS"/>
          <w14:textFill>
            <w14:solidFill>
              <w14:schemeClr w14:val="tx1"/>
            </w14:solidFill>
          </w14:textFill>
        </w:rPr>
        <w:t>Методологија и процес израде плана дигиталне трансформације и развоја паметног града</w:t>
      </w:r>
      <w:bookmarkEnd w:id="1"/>
    </w:p>
    <w:p w14:paraId="64456BBB">
      <w:pPr>
        <w:tabs>
          <w:tab w:val="left" w:pos="1418"/>
        </w:tabs>
        <w:jc w:val="both"/>
        <w:rPr>
          <w:rFonts w:ascii="Times New Roman" w:hAnsi="Times New Roman" w:cs="Times New Roman"/>
          <w:color w:val="000000" w:themeColor="text1"/>
          <w:sz w:val="22"/>
          <w:szCs w:val="22"/>
          <w:lang w:val="sr-Cyrl-RS"/>
          <w14:textFill>
            <w14:solidFill>
              <w14:schemeClr w14:val="tx1"/>
            </w14:solidFill>
          </w14:textFill>
        </w:rPr>
      </w:pPr>
    </w:p>
    <w:p w14:paraId="5642DD58">
      <w:p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color w:val="000000" w:themeColor="text1"/>
          <w:szCs w:val="22"/>
          <w:lang w:val="sr-Cyrl-RS"/>
          <w14:textFill>
            <w14:solidFill>
              <w14:schemeClr w14:val="tx1"/>
            </w14:solidFill>
          </w14:textFill>
        </w:rPr>
        <w:t>Град Пирот je приступио је процесу израде Плана дигиталне трансформације и развоја паметног града,  u оквиру пројекта Ка паметним, зеленим и одрживим градовима у Србији. Пројекат финансира Немачко министарство за иностране послове BMZ, кроз програм јавно-приватног партнерства DeveloPPP (GIZ) као јавни партнер,  ИТ компаније које израђују паметна решења Intracom-Telekom и Telegroup и НАционалне алијансе за локални економски развој (НАЛЕД) као удружење које посредује у процесу пружања стручне подршке јединицама локалне самоуправе (ЈЛС).</w:t>
      </w:r>
    </w:p>
    <w:p w14:paraId="5E324ED6">
      <w:p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color w:val="000000" w:themeColor="text1"/>
          <w:szCs w:val="22"/>
          <w:lang w:val="sr-Cyrl-RS"/>
          <w14:textFill>
            <w14:solidFill>
              <w14:schemeClr w14:val="tx1"/>
            </w14:solidFill>
          </w14:textFill>
        </w:rPr>
        <w:t xml:space="preserve">Израда Плана дигиталне трансофoрмације и развоја паметног града омогућена је уз финансијску подршку GIZ и стручну подршку консултантске куће DCG д.о.о. из Беиграда. </w:t>
      </w:r>
    </w:p>
    <w:p w14:paraId="4B0747BA">
      <w:p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color w:val="000000" w:themeColor="text1"/>
          <w:szCs w:val="22"/>
          <w:lang w:val="sr-Cyrl-RS"/>
          <w14:textFill>
            <w14:solidFill>
              <w14:schemeClr w14:val="tx1"/>
            </w14:solidFill>
          </w14:textFill>
        </w:rPr>
        <w:t>Паметан град повезује људе, процесе и ресурсе, стварајући одрживо, ефикасно и инклузивно урбано окружење. Овај план има за сврху да пружи стратешки, тактички и оперативни оквир за дигиталну трандформацију и развој паметног града вођен заједничком визијом, заснован на принципима доброг управљања и одговорном коришћењу капацитета и ресурса локалне заједнице, План се заснива на примени савремених технологија, ажурираних и тачних података и иновација. ради унапређења квалитета живота грађана, оптималног управљања ресурсима,  доступности ефикасних јавних услуга и приступачности за све грађанке и грађане Пирота.</w:t>
      </w:r>
    </w:p>
    <w:p w14:paraId="71577831">
      <w:p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color w:val="000000" w:themeColor="text1"/>
          <w:szCs w:val="22"/>
          <w:lang w:val="sr-Cyrl-RS"/>
          <w14:textFill>
            <w14:solidFill>
              <w14:schemeClr w14:val="tx1"/>
            </w14:solidFill>
          </w14:textFill>
        </w:rPr>
        <w:t>Овај план има за циљ да омогући ефикасну и ефективну примену паметних решења и њихово интегрисање у већ постојећи стратешки оквир дат у Плану развоја града период 2023-2029. године. У том смислу, овај план није посебан документ јавне политике, већ га треба посматрати као допуну већ утврђеним стратепким правцима и приоритетима, са фокусом на дигиталну трансформацију и предлоге иновативних решења за развој паметног града. Кључне фазе и методолошки кораци у процесу израде Плана дигиталне трансформације и развоја паметног града су:</w:t>
      </w:r>
    </w:p>
    <w:p w14:paraId="08D8BBB1">
      <w:pPr>
        <w:pStyle w:val="39"/>
        <w:numPr>
          <w:ilvl w:val="0"/>
          <w:numId w:val="1"/>
        </w:num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Утврђивање постојећег стања и ситуациона анализа. </w:t>
      </w:r>
      <w:r>
        <w:rPr>
          <w:rFonts w:ascii="Times New Roman" w:hAnsi="Times New Roman" w:cs="Times New Roman"/>
          <w:color w:val="000000" w:themeColor="text1"/>
          <w:szCs w:val="22"/>
          <w:lang w:val="sr-Cyrl-RS"/>
          <w14:textFill>
            <w14:solidFill>
              <w14:schemeClr w14:val="tx1"/>
            </w14:solidFill>
          </w14:textFill>
        </w:rPr>
        <w:t xml:space="preserve">Процес започиње консултацијама са представницима јединице локалне самоуправе, јавних предузећа и осталих битних актера, у циљу прикупљања података о тренутном стању и капацитетима за дигититалну трансформацију, електронско управљање, еУправу и пружање еУслуга. Ситуациона анализа се припрема на основу 1) налаза и препорука после спроведене процене стања, 2) ситуационе анализе, визије, циљева и приоритета утврђених у Плану развоја Града за период 2021-2028. године, 3) партиципативне анализе предности, недостатака, могућности и претњи (SWOT), и 4) испитивање ставова и потреба грађана  у процесу дигиталне трансформације и развоја паметног града. </w:t>
      </w:r>
    </w:p>
    <w:p w14:paraId="614BA878">
      <w:pPr>
        <w:pStyle w:val="39"/>
        <w:numPr>
          <w:ilvl w:val="0"/>
          <w:numId w:val="1"/>
        </w:num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Креирање визије и дефинисање приоритетних циљева дигиталне трансформације и развоја паметног града.  </w:t>
      </w:r>
      <w:r>
        <w:rPr>
          <w:rFonts w:ascii="Times New Roman" w:hAnsi="Times New Roman" w:cs="Times New Roman"/>
          <w:color w:val="000000" w:themeColor="text1"/>
          <w:szCs w:val="22"/>
          <w:lang w:val="sr-Cyrl-RS"/>
          <w14:textFill>
            <w14:solidFill>
              <w14:schemeClr w14:val="tx1"/>
            </w14:solidFill>
          </w14:textFill>
        </w:rPr>
        <w:t>На основу ситуационе анализе, развија се визија, на партиципативан начин: „Куда желимо да стигнемо?“. Утврђују се приоритетни циљеви дигиталне трансформације ка паметном граду.</w:t>
      </w:r>
    </w:p>
    <w:p w14:paraId="232C5CAB">
      <w:pPr>
        <w:pStyle w:val="39"/>
        <w:numPr>
          <w:ilvl w:val="0"/>
          <w:numId w:val="1"/>
        </w:num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Формулисање мера, пројеката и smart решења.</w:t>
      </w:r>
      <w:r>
        <w:rPr>
          <w:rFonts w:ascii="Times New Roman" w:hAnsi="Times New Roman" w:cs="Times New Roman"/>
          <w:color w:val="000000" w:themeColor="text1"/>
          <w:szCs w:val="22"/>
          <w:lang w:val="sr-Cyrl-RS"/>
          <w14:textFill>
            <w14:solidFill>
              <w14:schemeClr w14:val="tx1"/>
            </w14:solidFill>
          </w14:textFill>
        </w:rPr>
        <w:t xml:space="preserve"> У овој фази дефинишу се конкретне интервенције – мере, пројекти и „паметна“ решења која ће бити имплементирана до 2030. године. Акценат је на иновативности, одрживости, реалним могућностима, остваривим и применљивим мерама</w:t>
      </w:r>
    </w:p>
    <w:p w14:paraId="2AE59976">
      <w:pPr>
        <w:pStyle w:val="39"/>
        <w:numPr>
          <w:ilvl w:val="0"/>
          <w:numId w:val="1"/>
        </w:num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Успостављање оквира за реализацију Плана дигиталне трансформације и развоја паметног града. </w:t>
      </w:r>
      <w:r>
        <w:rPr>
          <w:rFonts w:ascii="Times New Roman" w:hAnsi="Times New Roman" w:cs="Times New Roman"/>
          <w:color w:val="000000" w:themeColor="text1"/>
          <w:szCs w:val="22"/>
          <w:lang w:val="sr-Cyrl-RS"/>
          <w14:textFill>
            <w14:solidFill>
              <w14:schemeClr w14:val="tx1"/>
            </w14:solidFill>
          </w14:textFill>
        </w:rPr>
        <w:t>У овој фази, утврђује се организациони оквир за имплементацију, дефиннишу се улоге и одговорности за спровођење Плана, потребне компетенције, временски оквир, буџет, очекивани резултата и показатељи на основу којих ће се пратити реализација, резултати и учинак на нивоу активности, мера/пројеката и приоритета. Утврђује се и у којим сегментима је потребна стручна подршка и обука, да ли је предвиђено ангажовање приватних партнера и пружалаца услуга, као и план интерне и екстерне комуникације.</w:t>
      </w:r>
    </w:p>
    <w:p w14:paraId="52DD8F1E">
      <w:pPr>
        <w:pStyle w:val="39"/>
        <w:numPr>
          <w:ilvl w:val="0"/>
          <w:numId w:val="1"/>
        </w:num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Планирање праћења, вредновања и извештавања. </w:t>
      </w:r>
      <w:r>
        <w:rPr>
          <w:rFonts w:ascii="Times New Roman" w:hAnsi="Times New Roman" w:cs="Times New Roman"/>
          <w:color w:val="000000" w:themeColor="text1"/>
          <w:szCs w:val="22"/>
          <w:lang w:val="sr-Cyrl-RS"/>
          <w14:textFill>
            <w14:solidFill>
              <w14:schemeClr w14:val="tx1"/>
            </w14:solidFill>
          </w14:textFill>
        </w:rPr>
        <w:t xml:space="preserve">Утврђује се план праћења, вредновања и извештавања као саставни део овог документа који обухвата: механизме за мониторинг и евалуацију – ко, када и како ће пратити напредак, мерити резултате и ажурирати план у складу са променама и новим потребама. </w:t>
      </w:r>
    </w:p>
    <w:p w14:paraId="581117B1">
      <w:pPr>
        <w:pStyle w:val="39"/>
        <w:numPr>
          <w:ilvl w:val="0"/>
          <w:numId w:val="1"/>
        </w:num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Објављивање нацрта Плана, организовање јавне расправе и усвајање Плана. </w:t>
      </w:r>
      <w:r>
        <w:rPr>
          <w:rFonts w:ascii="Times New Roman" w:hAnsi="Times New Roman" w:cs="Times New Roman"/>
          <w:color w:val="000000" w:themeColor="text1"/>
          <w:szCs w:val="22"/>
          <w:lang w:val="sr-Cyrl-RS"/>
          <w14:textFill>
            <w14:solidFill>
              <w14:schemeClr w14:val="tx1"/>
            </w14:solidFill>
          </w14:textFill>
        </w:rPr>
        <w:t>Завршна фаза подразумева финализацију документа, отварање јавне расправе, прикупљање предлога за допуну и унапређење, усвајање и објављивање, чиме се обезбеђује транспарентност и ангажовање шире заједнице.</w:t>
      </w:r>
    </w:p>
    <w:p w14:paraId="3EDD908A">
      <w:pPr>
        <w:tabs>
          <w:tab w:val="left" w:pos="1418"/>
        </w:tabs>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Учесници у процесу израде Плана </w:t>
      </w:r>
      <w:r>
        <w:rPr>
          <w:rFonts w:ascii="Times New Roman" w:hAnsi="Times New Roman" w:cs="Times New Roman"/>
          <w:color w:val="000000" w:themeColor="text1"/>
          <w:szCs w:val="22"/>
          <w:lang w:val="sr-Cyrl-RS"/>
          <w14:textFill>
            <w14:solidFill>
              <w14:schemeClr w14:val="tx1"/>
            </w14:solidFill>
          </w14:textFill>
        </w:rPr>
        <w:t>су чланови Радне групе, именовани Решењем о формирању тима за имплементацију пројектних активности у оквиру пројекта "Ка паметним, зеленим и одрживим градовима у Србији" (број Решења је 004731487 2025 06550 004 004 000 0001 од 25.11.2025. године), као и стручни саветници на пројекту, запослени у ЈЛС, ЈКП и ЈУ, као и сви остали битни актери на нивоу локалне заједница.</w:t>
      </w:r>
    </w:p>
    <w:p w14:paraId="0F688B9B">
      <w:pPr>
        <w:tabs>
          <w:tab w:val="left" w:pos="1418"/>
        </w:tabs>
        <w:spacing w:after="0" w:line="240" w:lineRule="auto"/>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 xml:space="preserve">Динамика сарадње са ЈЛС. </w:t>
      </w:r>
      <w:r>
        <w:rPr>
          <w:rFonts w:ascii="Times New Roman" w:hAnsi="Times New Roman" w:cs="Times New Roman"/>
          <w:color w:val="000000" w:themeColor="text1"/>
          <w:szCs w:val="22"/>
          <w:lang w:val="sr-Cyrl-RS"/>
          <w14:textFill>
            <w14:solidFill>
              <w14:schemeClr w14:val="tx1"/>
            </w14:solidFill>
          </w14:textFill>
        </w:rPr>
        <w:t>Процес је реализован кроз пет структурисаних састанака:</w:t>
      </w:r>
    </w:p>
    <w:p w14:paraId="38C081FD">
      <w:pPr>
        <w:pStyle w:val="39"/>
        <w:numPr>
          <w:ilvl w:val="0"/>
          <w:numId w:val="2"/>
        </w:numPr>
        <w:tabs>
          <w:tab w:val="left" w:pos="1418"/>
        </w:tabs>
        <w:spacing w:after="0" w:line="240" w:lineRule="auto"/>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Први састанак (12. децембар 2025.)</w:t>
      </w:r>
      <w:r>
        <w:rPr>
          <w:rFonts w:ascii="Times New Roman" w:hAnsi="Times New Roman" w:cs="Times New Roman"/>
          <w:color w:val="000000" w:themeColor="text1"/>
          <w:szCs w:val="22"/>
          <w:lang w:val="sr-Cyrl-RS"/>
          <w14:textFill>
            <w14:solidFill>
              <w14:schemeClr w14:val="tx1"/>
            </w14:solidFill>
          </w14:textFill>
        </w:rPr>
        <w:t xml:space="preserve"> – ситуациона анализа, SWOT, представљање форме и садржаја плана.</w:t>
      </w:r>
    </w:p>
    <w:p w14:paraId="4C47A817">
      <w:pPr>
        <w:pStyle w:val="39"/>
        <w:numPr>
          <w:ilvl w:val="0"/>
          <w:numId w:val="2"/>
        </w:numPr>
        <w:tabs>
          <w:tab w:val="left" w:pos="1418"/>
        </w:tabs>
        <w:spacing w:after="0" w:line="240" w:lineRule="auto"/>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Други састанак (22. децембар 2025.)</w:t>
      </w:r>
      <w:r>
        <w:rPr>
          <w:rFonts w:ascii="Times New Roman" w:hAnsi="Times New Roman" w:cs="Times New Roman"/>
          <w:color w:val="000000" w:themeColor="text1"/>
          <w:szCs w:val="22"/>
          <w:lang w:val="sr-Cyrl-RS"/>
          <w14:textFill>
            <w14:solidFill>
              <w14:schemeClr w14:val="tx1"/>
            </w14:solidFill>
          </w14:textFill>
        </w:rPr>
        <w:t xml:space="preserve"> – обука, дефинисање визије и циљева.</w:t>
      </w:r>
    </w:p>
    <w:p w14:paraId="74086ABF">
      <w:pPr>
        <w:pStyle w:val="39"/>
        <w:numPr>
          <w:ilvl w:val="0"/>
          <w:numId w:val="2"/>
        </w:numPr>
        <w:tabs>
          <w:tab w:val="left" w:pos="1418"/>
        </w:tabs>
        <w:spacing w:after="0" w:line="240" w:lineRule="auto"/>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Трећи састанак (06. фебруар 2026.)</w:t>
      </w:r>
      <w:r>
        <w:rPr>
          <w:rFonts w:ascii="Times New Roman" w:hAnsi="Times New Roman" w:cs="Times New Roman"/>
          <w:color w:val="000000" w:themeColor="text1"/>
          <w:szCs w:val="22"/>
          <w:lang w:val="sr-Cyrl-RS"/>
          <w14:textFill>
            <w14:solidFill>
              <w14:schemeClr w14:val="tx1"/>
            </w14:solidFill>
          </w14:textFill>
        </w:rPr>
        <w:t xml:space="preserve"> – дефинисање мера, пројеката, smart решења.</w:t>
      </w:r>
    </w:p>
    <w:p w14:paraId="01F40CEA">
      <w:pPr>
        <w:pStyle w:val="39"/>
        <w:numPr>
          <w:ilvl w:val="0"/>
          <w:numId w:val="2"/>
        </w:numPr>
        <w:tabs>
          <w:tab w:val="left" w:pos="1418"/>
        </w:tabs>
        <w:spacing w:after="0" w:line="240" w:lineRule="auto"/>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Четврти састанак (27.02.2026.)</w:t>
      </w:r>
      <w:r>
        <w:rPr>
          <w:rFonts w:ascii="Times New Roman" w:hAnsi="Times New Roman" w:cs="Times New Roman"/>
          <w:color w:val="000000" w:themeColor="text1"/>
          <w:szCs w:val="22"/>
          <w:lang w:val="sr-Cyrl-RS"/>
          <w14:textFill>
            <w14:solidFill>
              <w14:schemeClr w14:val="tx1"/>
            </w14:solidFill>
          </w14:textFill>
        </w:rPr>
        <w:t xml:space="preserve"> –  имплементациони оквир.</w:t>
      </w:r>
    </w:p>
    <w:p w14:paraId="0AA0134D">
      <w:pPr>
        <w:numPr>
          <w:ilvl w:val="0"/>
          <w:numId w:val="3"/>
        </w:numPr>
        <w:tabs>
          <w:tab w:val="left" w:pos="1418"/>
        </w:tabs>
        <w:spacing w:after="0" w:line="240" w:lineRule="auto"/>
        <w:jc w:val="both"/>
        <w:rPr>
          <w:rFonts w:ascii="Times New Roman" w:hAnsi="Times New Roman" w:cs="Times New Roman"/>
          <w:color w:val="000000" w:themeColor="text1"/>
          <w:szCs w:val="22"/>
          <w:lang w:val="sr-Cyrl-RS"/>
          <w14:textFill>
            <w14:solidFill>
              <w14:schemeClr w14:val="tx1"/>
            </w14:solidFill>
          </w14:textFill>
        </w:rPr>
      </w:pPr>
      <w:r>
        <w:rPr>
          <w:rFonts w:ascii="Times New Roman" w:hAnsi="Times New Roman" w:cs="Times New Roman"/>
          <w:b/>
          <w:bCs/>
          <w:color w:val="000000" w:themeColor="text1"/>
          <w:szCs w:val="22"/>
          <w:lang w:val="sr-Cyrl-RS"/>
          <w14:textFill>
            <w14:solidFill>
              <w14:schemeClr w14:val="tx1"/>
            </w14:solidFill>
          </w14:textFill>
        </w:rPr>
        <w:t>Пети састанак (март 2026.)</w:t>
      </w:r>
      <w:r>
        <w:rPr>
          <w:rFonts w:ascii="Times New Roman" w:hAnsi="Times New Roman" w:cs="Times New Roman"/>
          <w:color w:val="000000" w:themeColor="text1"/>
          <w:szCs w:val="22"/>
          <w:lang w:val="sr-Cyrl-RS"/>
          <w14:textFill>
            <w14:solidFill>
              <w14:schemeClr w14:val="tx1"/>
            </w14:solidFill>
          </w14:textFill>
        </w:rPr>
        <w:t xml:space="preserve"> – мониторинг, евалуација и преглед нацрта плана.</w:t>
      </w:r>
    </w:p>
    <w:p w14:paraId="05295BAA">
      <w:pPr>
        <w:tabs>
          <w:tab w:val="left" w:pos="1418"/>
        </w:tabs>
        <w:spacing w:after="0" w:line="240" w:lineRule="auto"/>
        <w:jc w:val="both"/>
        <w:rPr>
          <w:rFonts w:ascii="Times New Roman" w:hAnsi="Times New Roman" w:cs="Times New Roman"/>
          <w:bCs/>
          <w:color w:val="000000" w:themeColor="text1"/>
          <w:szCs w:val="22"/>
          <w:lang w:val="sr-Cyrl-RS"/>
          <w14:textFill>
            <w14:solidFill>
              <w14:schemeClr w14:val="tx1"/>
            </w14:solidFill>
          </w14:textFill>
        </w:rPr>
      </w:pPr>
    </w:p>
    <w:p w14:paraId="3F6C7DA5">
      <w:pPr>
        <w:tabs>
          <w:tab w:val="left" w:pos="1418"/>
        </w:tabs>
        <w:spacing w:after="0" w:line="240" w:lineRule="auto"/>
        <w:jc w:val="both"/>
        <w:rPr>
          <w:rFonts w:ascii="Times New Roman" w:hAnsi="Times New Roman" w:cs="Times New Roman"/>
          <w:bCs/>
          <w:color w:val="000000" w:themeColor="text1"/>
          <w:szCs w:val="22"/>
          <w:lang w:val="sr-Cyrl-RS"/>
          <w14:textFill>
            <w14:solidFill>
              <w14:schemeClr w14:val="tx1"/>
            </w14:solidFill>
          </w14:textFill>
        </w:rPr>
      </w:pPr>
      <w:r>
        <w:rPr>
          <w:rFonts w:ascii="Times New Roman" w:hAnsi="Times New Roman" w:cs="Times New Roman"/>
          <w:bCs/>
          <w:color w:val="000000" w:themeColor="text1"/>
          <w:szCs w:val="22"/>
          <w:lang w:val="sr-Cyrl-RS"/>
          <w14:textFill>
            <w14:solidFill>
              <w14:schemeClr w14:val="tx1"/>
            </w14:solidFill>
          </w14:textFill>
        </w:rPr>
        <w:t xml:space="preserve">Рад на детаљној разради и усаглашавању текста реализован је путем интензивних консултација током априла месеца 2026. године. </w:t>
      </w:r>
    </w:p>
    <w:p w14:paraId="61B18682">
      <w:pPr>
        <w:tabs>
          <w:tab w:val="left" w:pos="1418"/>
        </w:tabs>
        <w:spacing w:after="0" w:line="240" w:lineRule="auto"/>
        <w:jc w:val="both"/>
        <w:rPr>
          <w:rFonts w:ascii="Times New Roman" w:hAnsi="Times New Roman" w:cs="Times New Roman"/>
          <w:bCs/>
          <w:color w:val="000000" w:themeColor="text1"/>
          <w:szCs w:val="22"/>
          <w:lang w:val="sr-Cyrl-RS"/>
          <w14:textFill>
            <w14:solidFill>
              <w14:schemeClr w14:val="tx1"/>
            </w14:solidFill>
          </w14:textFill>
        </w:rPr>
      </w:pPr>
    </w:p>
    <w:p w14:paraId="0492595D">
      <w:pPr>
        <w:tabs>
          <w:tab w:val="left" w:pos="1418"/>
        </w:tabs>
        <w:spacing w:after="0" w:line="240" w:lineRule="auto"/>
        <w:jc w:val="both"/>
        <w:rPr>
          <w:rFonts w:ascii="Times New Roman" w:hAnsi="Times New Roman" w:cs="Times New Roman"/>
          <w:bCs/>
          <w:color w:val="000000" w:themeColor="text1"/>
          <w:szCs w:val="22"/>
          <w:lang w:val="sr-Cyrl-RS"/>
          <w14:textFill>
            <w14:solidFill>
              <w14:schemeClr w14:val="tx1"/>
            </w14:solidFill>
          </w14:textFill>
        </w:rPr>
      </w:pPr>
      <w:r>
        <w:rPr>
          <w:rFonts w:ascii="Times New Roman" w:hAnsi="Times New Roman" w:cs="Times New Roman"/>
          <w:bCs/>
          <w:color w:val="000000" w:themeColor="text1"/>
          <w:szCs w:val="22"/>
          <w:lang w:val="sr-Cyrl-RS"/>
          <w14:textFill>
            <w14:solidFill>
              <w14:schemeClr w14:val="tx1"/>
            </w14:solidFill>
          </w14:textFill>
        </w:rPr>
        <w:t xml:space="preserve">Месец мај посвећен је јавном увиду у нацрт Плана, који ће резултирати финалним усаглашавањем и представљањем документа Скупштини града Пирота. </w:t>
      </w:r>
    </w:p>
    <w:p w14:paraId="29600D49">
      <w:pPr>
        <w:tabs>
          <w:tab w:val="left" w:pos="1418"/>
        </w:tabs>
        <w:spacing w:after="0" w:line="240" w:lineRule="auto"/>
        <w:jc w:val="both"/>
        <w:rPr>
          <w:rFonts w:ascii="Times New Roman" w:hAnsi="Times New Roman" w:cs="Times New Roman"/>
          <w:color w:val="000000" w:themeColor="text1"/>
          <w:szCs w:val="22"/>
          <w14:textFill>
            <w14:solidFill>
              <w14:schemeClr w14:val="tx1"/>
            </w14:solidFill>
          </w14:textFill>
        </w:rPr>
      </w:pPr>
    </w:p>
    <w:p w14:paraId="3A111D7C">
      <w:pPr>
        <w:pStyle w:val="2"/>
        <w:numPr>
          <w:ilvl w:val="0"/>
          <w:numId w:val="4"/>
        </w:numPr>
        <w:tabs>
          <w:tab w:val="left" w:pos="1418"/>
        </w:tabs>
        <w:rPr>
          <w:color w:val="000000" w:themeColor="text1"/>
          <w:lang w:val="sr-Cyrl-RS"/>
          <w14:textFill>
            <w14:solidFill>
              <w14:schemeClr w14:val="tx1"/>
            </w14:solidFill>
          </w14:textFill>
        </w:rPr>
      </w:pPr>
      <w:bookmarkStart w:id="2" w:name="_Toc229061107"/>
      <w:r>
        <w:rPr>
          <w:color w:val="000000" w:themeColor="text1"/>
          <w:lang w:val="sr-Cyrl-RS"/>
          <w14:textFill>
            <w14:solidFill>
              <w14:schemeClr w14:val="tx1"/>
            </w14:solidFill>
          </w14:textFill>
        </w:rPr>
        <w:t>Ситуациона анализа</w:t>
      </w:r>
      <w:bookmarkEnd w:id="2"/>
      <w:r>
        <w:rPr>
          <w:color w:val="000000" w:themeColor="text1"/>
          <w:lang w:val="sr-Cyrl-RS"/>
          <w14:textFill>
            <w14:solidFill>
              <w14:schemeClr w14:val="tx1"/>
            </w14:solidFill>
          </w14:textFill>
        </w:rPr>
        <w:t xml:space="preserve"> </w:t>
      </w:r>
    </w:p>
    <w:p w14:paraId="3DA4E478">
      <w:pPr>
        <w:pStyle w:val="3"/>
        <w:numPr>
          <w:ilvl w:val="1"/>
          <w:numId w:val="4"/>
        </w:numPr>
        <w:tabs>
          <w:tab w:val="left" w:pos="1418"/>
        </w:tabs>
        <w:rPr>
          <w:color w:val="000000" w:themeColor="text1"/>
          <w:lang w:val="sr-Cyrl-RS"/>
          <w14:textFill>
            <w14:solidFill>
              <w14:schemeClr w14:val="tx1"/>
            </w14:solidFill>
          </w14:textFill>
        </w:rPr>
      </w:pPr>
      <w:bookmarkStart w:id="3" w:name="_Toc229061108"/>
      <w:r>
        <w:rPr>
          <w:color w:val="000000" w:themeColor="text1"/>
          <w:lang w:val="sr-Cyrl-RS"/>
          <w14:textFill>
            <w14:solidFill>
              <w14:schemeClr w14:val="tx1"/>
            </w14:solidFill>
          </w14:textFill>
        </w:rPr>
        <w:t>Основне информације о граду</w:t>
      </w:r>
      <w:bookmarkEnd w:id="3"/>
      <w:r>
        <w:rPr>
          <w:color w:val="000000" w:themeColor="text1"/>
          <w:lang w:val="sr-Cyrl-RS"/>
          <w14:textFill>
            <w14:solidFill>
              <w14:schemeClr w14:val="tx1"/>
            </w14:solidFill>
          </w14:textFill>
        </w:rPr>
        <w:t xml:space="preserve"> </w:t>
      </w:r>
    </w:p>
    <w:p w14:paraId="79DDB69E">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Пирот се налази у југоисточном делу Србије, на обалама реке Нишаве, у пространој котлини у подножју Старе планине. Познат на далеко по ћилиму и качкаваљу, Пирот је град богате прошлости, а околне области пружају значајна сазнања о старим народима који су живели у централним областима Балкана, у граничној зони двеју језичких, културолошких и цивилизацијских сфера, латинске на западу и грчке на истоку. Статус града је добио 2016. године, а данас има око 50.000 становника са околним селима. Пиротски управни округ у свом саставу има и општине Белу Паланку, Димитровград и Бабушницу.</w:t>
      </w:r>
    </w:p>
    <w:p w14:paraId="49B3C23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Демографску структуру карактерише изражен процес старења становништва, као и негативни миграциони трендови, што представља један од кључних развојних изазова. Истовремено, образовна структура становништва указује на релативно добру основу за развој савремених услуга, при чему је стопа неписмености испод републичког просека. Упркос томе, постоје значајне разлике у нивоу дигиталних и функционалних вештина између различитих старосних и социјалних група, што захтева циљане мере у области дигиталне инклузије и образовања.</w:t>
      </w:r>
    </w:p>
    <w:p w14:paraId="102F54F0">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Инфраструктурни капацитети Пирота представљају једну од кључних развојних предности града. Саобраћајна инфраструктура ослоњена је на Коридор X, што омогућава добру регионалну и међународну повезаност. Град располаже развијеном комуналном инфраструктуром у областима водоснабдевања, управљања отпадом, даљинског грејања и јавне расвете, као и искуством у имплементацији енергетски ефикасних и еколошких пројеката. Посебно је значајна примена напредних техничких решења у комуналним системима, што представља чврсту основу за даљи развој паметних градских услуга.</w:t>
      </w:r>
    </w:p>
    <w:p w14:paraId="02DA263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Пирот има дугогодишње искуство у спровођењу развојних и инвестиционих пројеката, укључујући сарадњу са међународним финансијским институцијама, донаторима и приватним сектором. Град је препознат као један од пионира у области енергетске ефикасности и одрживог управљања ресурсима, што је додатно оснажено кроз стратешка документа и оперативне програме. Оваква оријентација омогућила је постепену интеграцију дигиталних и паметних решења у управљање инфраструктуром, јавним услугама и заштитом животне средине.</w:t>
      </w:r>
    </w:p>
    <w:p w14:paraId="05F8300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дигиталне трансформације, Пирот располаже стабилним институционалним и техничким основама, укључујући примену националних информационих система, развијене интерне ИКТ капацитете и постојање локалне иновационе и предузетничке инфраструктуре (стартап и иновациони центри). Иако дигитална писменост није равномерно развијена у свим деловима становништва, постоји јасан потенцијал за њено унапређење кроз системске програме едукације, еУслуге и активно укључивање грађана у дигиталне процесе.</w:t>
      </w:r>
    </w:p>
    <w:p w14:paraId="1D57F4B6">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Свеукупно посматрано, Град Пирот располаже повољним географским положајем, стабилном инфраструктурном основом и институционалним капацитетима који омогућавају даљи развој паметних градских решења. Изазови са којима се град суочава – демографски трендови, потреба за јачањем дигиталних вештина и систематизацијом управљања подацима – истовремено представљају и кључне полуге за стратешки усмерену дигиталну и Smart City трансформацију у наредном периоду.</w:t>
      </w:r>
    </w:p>
    <w:p w14:paraId="27D6BC1F">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6DEDD91C">
      <w:pPr>
        <w:pStyle w:val="3"/>
        <w:numPr>
          <w:ilvl w:val="1"/>
          <w:numId w:val="4"/>
        </w:numPr>
        <w:tabs>
          <w:tab w:val="left" w:pos="1418"/>
        </w:tabs>
        <w:rPr>
          <w:color w:val="000000" w:themeColor="text1"/>
          <w:lang w:val="sr-Cyrl-RS"/>
          <w14:textFill>
            <w14:solidFill>
              <w14:schemeClr w14:val="tx1"/>
            </w14:solidFill>
          </w14:textFill>
        </w:rPr>
      </w:pPr>
      <w:bookmarkStart w:id="4" w:name="_Toc229061109"/>
      <w:r>
        <w:rPr>
          <w:color w:val="000000" w:themeColor="text1"/>
          <w:lang w:val="sr-Cyrl-RS"/>
          <w14:textFill>
            <w14:solidFill>
              <w14:schemeClr w14:val="tx1"/>
            </w14:solidFill>
          </w14:textFill>
        </w:rPr>
        <w:t>Економски развој</w:t>
      </w:r>
      <w:bookmarkEnd w:id="4"/>
      <w:r>
        <w:rPr>
          <w:color w:val="000000" w:themeColor="text1"/>
          <w:lang w:val="sr-Cyrl-RS"/>
          <w14:textFill>
            <w14:solidFill>
              <w14:schemeClr w14:val="tx1"/>
            </w14:solidFill>
          </w14:textFill>
        </w:rPr>
        <w:t xml:space="preserve"> </w:t>
      </w:r>
    </w:p>
    <w:p w14:paraId="58AF031A">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Економски развој Града Пирота заснива се на снажној индустријској традицији, развијеном сектору малих и средњих предузећа, пољопривреди са израженим потенцијалом за модернизацију, као и на постепеном развоју туризма заснованог на природним и културним ресурсима. Стратешки циљеви града усмерени су ка одрживом економском расту, дигиталној трансформацији привреде и јачању конкурентности кроз примену савремених технологија, иновација и паметних решења.</w:t>
      </w:r>
    </w:p>
    <w:p w14:paraId="4D16E711">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Пирот је препознат као један од значајних индустријских центара југоисточне Србије, са снажним извозно оријентисаним компанијама, развијеном прерађивачком индустријом и стабилном производном базом. У том контексту, дигитализација производних процеса, увођење индустријског интернета ствари (IoT), система за праћење енергетске ефикасности и паметно управљање ресурсима представљају важан правац даљег развоја локалне привреде.</w:t>
      </w:r>
    </w:p>
    <w:p w14:paraId="02AB633A">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Сектор малих и средњих предузећа (МСП) чини окосницу локалне економије, са заступљеношћу у трговини, услугама, занатству, прерађивачким делатностима и растућем ИКТ сектору. Град Пирот подстиче дигитализацију МСП кроз примену е-управе, електронских сервиса, дигиталног маркетинга, е-трговине и cloud решења за управљање пословањем. Посебан потенцијал постоји у развоју ИКТ предузећа и стартапа у области интернет технологија, интернета ствари, софтверских решења и техничке подршке паметним системима.</w:t>
      </w:r>
    </w:p>
    <w:p w14:paraId="040A58B4">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Пољопривреда представља важан сегмент економије Пирота, нарочито у руралним подручјима. Доминирају мала и средња газдинства, са потенцијалом за примену дигиталне пољопривреде кроз увођење сензора за праћење влажности земљишта, климатских услова и приноса, као и кроз коришћење дигиталних платформи за евиденцију производње, субвенције и пласман производа. Оваква решења доприносе повећању продуктивности и одрживости пољопривредне производње.</w:t>
      </w:r>
    </w:p>
    <w:p w14:paraId="1BF9A07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Туристички потенцијал Пирота заснива се на природним вредностима Старе планине, културно-историјском наслеђу и гастрономији. Дигитализација туристичке понуде, кроз онлајн промоцију, дигиталне водиче, мобилне апликације и паметна решења за управљање туристичким токовима, препозната је као важан инструмент за повећање видљивости и конкурентности дестинације.</w:t>
      </w:r>
    </w:p>
    <w:p w14:paraId="528D28F1">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Тржиште рада у Пироту се постепено прилагођава захтевима дигиталне економије. Расте потреба за ИКТ стручњацима, техничарима за одржавање паметних система, аналитичарима података и кадровима са дигиталним вештинама. Град подстиче развој људског капитала кроз образовање, преквалификације и повезивање привреде са образовним институцијама.</w:t>
      </w:r>
    </w:p>
    <w:p w14:paraId="0C6899F5">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 Пирот тиме гради економски модел који се ослања на индустрију, МСП, пољопривреду и туризам, уз јасан фокус на дигитализацију, иновације и примену интернет технологија и IoT решења, као основу за дугорочну конкурентност и одрживи локални развој.</w:t>
      </w:r>
    </w:p>
    <w:p w14:paraId="23E6F31E">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6E0998B1">
      <w:pPr>
        <w:pStyle w:val="3"/>
        <w:tabs>
          <w:tab w:val="left" w:pos="1418"/>
        </w:tabs>
        <w:rPr>
          <w:color w:val="000000" w:themeColor="text1"/>
          <w:lang w:val="sr-Cyrl-RS"/>
          <w14:textFill>
            <w14:solidFill>
              <w14:schemeClr w14:val="tx1"/>
            </w14:solidFill>
          </w14:textFill>
        </w:rPr>
      </w:pPr>
      <w:bookmarkStart w:id="5" w:name="_Toc229061110"/>
      <w:r>
        <w:rPr>
          <w:color w:val="000000" w:themeColor="text1"/>
          <w:lang w:val="sr-Cyrl-RS"/>
          <w14:textFill>
            <w14:solidFill>
              <w14:schemeClr w14:val="tx1"/>
            </w14:solidFill>
          </w14:textFill>
        </w:rPr>
        <w:t>1.3 Друштвени развој</w:t>
      </w:r>
      <w:bookmarkEnd w:id="5"/>
      <w:r>
        <w:rPr>
          <w:color w:val="000000" w:themeColor="text1"/>
          <w:lang w:val="sr-Cyrl-RS"/>
          <w14:textFill>
            <w14:solidFill>
              <w14:schemeClr w14:val="tx1"/>
            </w14:solidFill>
          </w14:textFill>
        </w:rPr>
        <w:t xml:space="preserve"> </w:t>
      </w:r>
    </w:p>
    <w:p w14:paraId="0133B37E">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Друштвени развој Града Пирота усмерен је ка унапређењу квалитета живота грађана кроз развој образовања, здравства, социјалне заштите, културе и спорта, уз системску примену дигиталних и паметних решења. Основни циљ је изградња инклузивне, доступне и ефикасне заједнице у којој дигиталне технологије служе као средство за боље јавне услуге и активно учешће грађана.</w:t>
      </w:r>
    </w:p>
    <w:p w14:paraId="37799F8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образовања, школе у Пироту користе електронске дневнике и дигиталне платформе за наставу и комуникацију. Постоји значајан потенцијал за даљи развој дигиталних образовних садржаја, STEM</w:t>
      </w:r>
      <w:r>
        <w:rPr>
          <w:rStyle w:val="15"/>
          <w:rFonts w:ascii="Times New Roman" w:hAnsi="Times New Roman" w:cs="Times New Roman"/>
          <w:color w:val="000000" w:themeColor="text1"/>
          <w:lang w:val="sr-Cyrl-RS"/>
          <w14:textFill>
            <w14:solidFill>
              <w14:schemeClr w14:val="tx1"/>
            </w14:solidFill>
          </w14:textFill>
        </w:rPr>
        <w:footnoteReference w:id="0"/>
      </w:r>
      <w:r>
        <w:rPr>
          <w:rFonts w:ascii="Times New Roman" w:hAnsi="Times New Roman" w:cs="Times New Roman"/>
          <w:color w:val="000000" w:themeColor="text1"/>
          <w:lang w:val="sr-Cyrl-RS"/>
          <w14:textFill>
            <w14:solidFill>
              <w14:schemeClr w14:val="tx1"/>
            </w14:solidFill>
          </w14:textFill>
        </w:rPr>
        <w:t xml:space="preserve"> програма и ИКТ образовања, посебно у средњем и стручном образовању, како би се млади припремили за потребе савременог тржишта рада и Smart City окружења.</w:t>
      </w:r>
    </w:p>
    <w:p w14:paraId="4FEA8F3B">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Здравствени систем у Пироту пролази кроз процес дигитализације, кроз примену електронских картона, заказивања и размене података. Постоји простор за унапређење телемедицине и паметних здравствених сервиса, који би омогућили ефикаснији приступ здравственој заштити, нарочито за становништво у удаљеним и руралним подручјима.</w:t>
      </w:r>
    </w:p>
    <w:p w14:paraId="7485B9C6">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социјалне заштите, дигитална решења доприносе бољој евиденцији корисника, транспарентнијем остваривању права и бржем реаговању на потребе осетљивих група. Електронско подношење захтева и интеграција база података могу значајно унапредити ефикасност и доступност социјалних услуга.</w:t>
      </w:r>
    </w:p>
    <w:p w14:paraId="4934DDF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Култура и културно наслеђе Пирота имају значајан потенцијал за дигиталну трансформацију. Музеји, библиотеке и културне институције могу развијати дигиталне архиве, онлајн изложбе и виртуелне туре, док културне манифестације све више користе дигиталне канале за промоцију и комуникацију са публиком, чиме се повећава доступност културних садржаја.</w:t>
      </w:r>
    </w:p>
    <w:p w14:paraId="0C34EC89">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Спорт и рекреација подржани су кроз дигиталне системе за управљање спортским објектима, онлајн регистрацију клубова и евиденцију активности. Постоји простор за развој апликација које би грађанима омогућиле лакши приступ информацијама, резервацију термина и праћење спортских дешавања у реалном времену.</w:t>
      </w:r>
    </w:p>
    <w:p w14:paraId="6562EB08">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 Пирот тиме гради модел друштвеног развоја који интегрише дигитализацију и паметна решења у кључне јавне секторе, са циљем повећања доступности услуга, транспарентности и активног учешћа грађана. Овај приступ ствара основу за модерну, инклузивну и технолошки напредну локалну заједницу, у складу са принципима одрживог и паметног развоја.</w:t>
      </w:r>
    </w:p>
    <w:p w14:paraId="1EDF72A4">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7D3DC428">
      <w:pPr>
        <w:pStyle w:val="3"/>
        <w:tabs>
          <w:tab w:val="left" w:pos="1418"/>
        </w:tabs>
        <w:rPr>
          <w:color w:val="000000" w:themeColor="text1"/>
          <w:lang w:val="sr-Cyrl-RS"/>
          <w14:textFill>
            <w14:solidFill>
              <w14:schemeClr w14:val="tx1"/>
            </w14:solidFill>
          </w14:textFill>
        </w:rPr>
      </w:pPr>
      <w:bookmarkStart w:id="6" w:name="_Toc229061111"/>
      <w:r>
        <w:rPr>
          <w:color w:val="000000" w:themeColor="text1"/>
          <w:lang w:val="sr-Cyrl-RS"/>
          <w14:textFill>
            <w14:solidFill>
              <w14:schemeClr w14:val="tx1"/>
            </w14:solidFill>
          </w14:textFill>
        </w:rPr>
        <w:t>1.4 Урбани развој и заштита животне средине</w:t>
      </w:r>
      <w:bookmarkEnd w:id="6"/>
      <w:r>
        <w:rPr>
          <w:color w:val="000000" w:themeColor="text1"/>
          <w:lang w:val="sr-Cyrl-RS"/>
          <w14:textFill>
            <w14:solidFill>
              <w14:schemeClr w14:val="tx1"/>
            </w14:solidFill>
          </w14:textFill>
        </w:rPr>
        <w:t xml:space="preserve"> </w:t>
      </w:r>
    </w:p>
    <w:p w14:paraId="459B36C8">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Паметна урбана мобилност (smart mobility) је једна од кључних тема сваког паметног града. Она подразумева оптимизацију саобраћаја и саобраћајних веза уз поштовање нових стандарда одрживости, ефикасности, безбедности и квалитета ваздуха. Различита решења се повезују и међусобно прожимају у оквиру паметне урбане мобилности, а у циљу достизања специфичних и мерљивих користи (смањење емисија</w:t>
      </w:r>
      <w:r>
        <w:rPr>
          <w:rFonts w:ascii="Times New Roman" w:hAnsi="Times New Roman" w:cs="Times New Roman"/>
          <w:color w:val="000000" w:themeColor="text1"/>
          <w14:textFill>
            <w14:solidFill>
              <w14:schemeClr w14:val="tx1"/>
            </w14:solidFill>
          </w14:textFill>
        </w:rPr>
        <w:t xml:space="preserve"> </w:t>
      </w:r>
      <w:r>
        <w:rPr>
          <w:rFonts w:ascii="Times New Roman" w:hAnsi="Times New Roman" w:cs="Times New Roman"/>
          <w:color w:val="000000" w:themeColor="text1"/>
          <w:lang w:val="sr-Cyrl-RS"/>
          <w14:textFill>
            <w14:solidFill>
              <w14:schemeClr w14:val="tx1"/>
            </w14:solidFill>
          </w14:textFill>
        </w:rPr>
        <w:t>штетних гасова, побољшање здравља, већа безбедност у саобраћају, оптимизација паркирања, подаци у реалном времену и друго).</w:t>
      </w:r>
    </w:p>
    <w:p w14:paraId="6E91610F">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 обзиром да одржива урбана мобилност обухвата више различитих области – урбани развој, саобраћај, животну средину и јавно здравље – Град Пирот је сагледао неопходност међусобног повезивања ових локалних јавних политика, а у циљу унапређења квалитета живота грађана. Посебна пажња посвећена је образовању и подизању нивоа свести свих учесника у саобраћају, иновацијама и урбанистичком планирању, уз израду неопходних студија о мобилности.</w:t>
      </w:r>
    </w:p>
    <w:p w14:paraId="5A45647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Урбани развој и заштита животне средине у Граду Пироту заснивају се на принципима одрживог развоја, рационалног коришћења простора и ресурса, као и постепеног увођења дигиталних и паметних решења у управљање градском инфраструктуром. Стратешки документи града препознају значај унапређења квалитета живота грађана кроз боље планирање, ефикасније комуналне услуге, унапређење саобраћаја и смањење негативних утицаја на животну средину, при чему је дигитализација препозната као важан подржавајући инструмент.</w:t>
      </w:r>
    </w:p>
    <w:p w14:paraId="332B6E1D">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урбанизма и просторног планирања, Град Пирот примењује електронске сервисе у оквиру националног система електронске управе, посебно у поступцима издавања грађевинских дозвола и других управних аката. Овај приступ доприноси већој транспарентности, скраћењу процедура и бољој комуникацији између градске управе, инвеститора и грађана. Иако још увек не постоје напредна паметна решења за анализу просторних података у реалном времену, постоји основ за њихово будуће увођење кроз унапређење дигиталних база и бољу интеграцију података.</w:t>
      </w:r>
    </w:p>
    <w:p w14:paraId="242C1C50">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Саобраћај и путна инфраструктура представљају једну од кључних области урбаног развоја. У Пироту је успостављен систем наплате и контроле паркирања, који представља конкретан пример примене дигиталног приступа у управљању урбаном мобилношћу. Овај систем доприноси бољој организацији паркирања и ефикаснијем коришћењу јавног простора, а у наредном периоду планирано је његово унапређење у правцу већег степена аутоматизације, бољег корисничког искуства и транспарентнијег управљања приходима. Иако концепт паметне урбане мобилности још није у потпуности развијен, постоји јасно препознат потенцијал за његов постепени развој кроз будуће Smart City активности.</w:t>
      </w:r>
    </w:p>
    <w:p w14:paraId="4B46F15E">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комуналних делатности и заштите животне средине, Град Пирот спроводи мере усмерене на унапређење енергетске ефикасности, управљање отпадом и очување природних ресурса, пре свега кроз регулаторне и организационе механизме. Дигитална и паметна решења у овим областима тренутно нису системски примењена, али су препозната као важан развојни правац, нарочито у контексту будућег увођења система за праћење потрошње енергије, ефикасније управљање инфраструктуром и боље планирање интервенција.</w:t>
      </w:r>
    </w:p>
    <w:p w14:paraId="7BA687D9">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Посебан значај у наредном периоду имаће повезивање урбаног развоја, саобраћаја и заштите животне средине кроз координисано планирање и постепено увођење дигиталних алата за прикупљање и анализу података. Иако тренутно не постоје напредни системи за мерење утицаја паметних решења на животну средину и квалитет живота грађана, успостављање таквих механизама представља један од кључних изазова и развојних потенцијала у оквиру будућег Smart City приступа.</w:t>
      </w:r>
    </w:p>
    <w:p w14:paraId="3EB694D5">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 Пирот се у области урбаног развоја и заштите животне средине налази у фази у којој су постављене институционалне и регулаторне основе, као и појединачна дигитална решења, али је потребан даљи корак ка системском и интегрисаном приступу. Будући развој ће захтевати јасно повезивање урбанистичког планирања, саобраћаја, комуналних делатности и заштите животне средине са дигитализацијом, како би се створили услови за мерљиве ефекте, одрживи развој и унапређење квалитета живота грађана.</w:t>
      </w:r>
    </w:p>
    <w:p w14:paraId="7D7872BC">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10D6A1D1">
      <w:pPr>
        <w:pStyle w:val="3"/>
        <w:tabs>
          <w:tab w:val="left" w:pos="1418"/>
        </w:tabs>
        <w:rPr>
          <w:color w:val="000000" w:themeColor="text1"/>
          <w:lang w:val="sr-Cyrl-RS"/>
          <w14:textFill>
            <w14:solidFill>
              <w14:schemeClr w14:val="tx1"/>
            </w14:solidFill>
          </w14:textFill>
        </w:rPr>
      </w:pPr>
      <w:bookmarkStart w:id="7" w:name="_Toc229061112"/>
      <w:r>
        <w:rPr>
          <w:color w:val="000000" w:themeColor="text1"/>
          <w:lang w:val="sr-Cyrl-RS"/>
          <w14:textFill>
            <w14:solidFill>
              <w14:schemeClr w14:val="tx1"/>
            </w14:solidFill>
          </w14:textFill>
        </w:rPr>
        <w:t>1.5 Градска управа: степен дигиталне трансформације, електронско управљање и примена паметних решења</w:t>
      </w:r>
      <w:bookmarkEnd w:id="7"/>
      <w:r>
        <w:rPr>
          <w:color w:val="000000" w:themeColor="text1"/>
          <w:lang w:val="sr-Cyrl-RS"/>
          <w14:textFill>
            <w14:solidFill>
              <w14:schemeClr w14:val="tx1"/>
            </w14:solidFill>
          </w14:textFill>
        </w:rPr>
        <w:t xml:space="preserve"> </w:t>
      </w:r>
    </w:p>
    <w:p w14:paraId="150A8AC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Градска управа Пирота показује висок степен институционалне и оперативне спремности за дигиталну трансформацију, уз јасно препознавање значаја електронске управе и паметних решења као инструмената за унапређење ефикасности, транспарентности и квалитета јавних услуга. Дигитализација је интегрисана у стратешке и развојне документе града и посматра се као подршка ширим циљевима економског, друштвеног и одрживог развоја.</w:t>
      </w:r>
    </w:p>
    <w:p w14:paraId="507B6C9B">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стратешком и регулаторном смислу, Пирот има успостављен оквир који подржава увођење и развој еУправе и Smart City концепта. План развоја града препознаје дигиталну трансформацију као хоризонтални развојни приоритет, док је кроз посебне програме и пројекте развијен сет паметних решења у областима комуналних услуга, енергетике, заштите животне средине и мобилности. Ипак, иако су појединачна решења успешно имплементирана, не постоји јединствен формализован управљачки оквир који би објединио визију, приоритете, стандарде и механизме праћења учинака.</w:t>
      </w:r>
    </w:p>
    <w:p w14:paraId="2A024E80">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оквиру усвојеног документа „Smart City Пирот – стратегија и оквир развоја за период 2026–2030“, сагледано је постојеће стање дигиталне зрелости Града Пирота, као и ниво институционалне, техничке и организационе спремности за систематичну примену концепта паметног града. Анализа је обухватила постојеће стратешке и планске оквире, реализована и планирана паметна решења, капацитете градске управе и јавних предузећа, као и досадашња искуства у примени дигиталних и иновативних приступа управљању развојем. Посебна пажња посвећена је идентификацији кључних потенцијала, ограничења и развојних могућности које представљају основу за дефинисање даљих мера и приоритета Smart City развоја Града Пирота.</w:t>
      </w:r>
    </w:p>
    <w:p w14:paraId="358A565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Техничка опремљеност Градске управе је на функционалном и стабилном нивоу. У свакодневном раду користе се национални и локални информациони системи за електронско управљање, што обезбеђује континуитет административних процеса и усклађеност са државним дигиталним сервисима. Постоји развијена ИКТ инфраструктура и оперативна способност за подршку паметним решењима, али управљање подацима остаје углавном секторско, без јединствених стандарда, централизованих база и систематске аналитике.</w:t>
      </w:r>
    </w:p>
    <w:p w14:paraId="171E6F1E">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Организациона структура и људски ресурси обезбеђују стабилно функционисање дигиталних система и пројеката. Запослени поседују практична знања за рад са електронским сервисима и информационим системима, а град има искуство у припреми и реализацији пројеката дигитализације у сарадњи са донаторима и партнерима. Међутим, не постоји формално дефинисана централна аналитичка и функција праћења и вредновања (мониторинга и евалуације), нити јасно институционализована улога за координацију развоја на нивоу целе управе.</w:t>
      </w:r>
    </w:p>
    <w:p w14:paraId="059997E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Финансијска одрживост ИКТ система и паметних решења има солидну основу, уз ослањање на програмски буџет, националне програме и донаторска средства. Ипак, не примењују се систематски модели укупних трошкова власништва (TCO</w:t>
      </w:r>
      <w:r>
        <w:rPr>
          <w:rStyle w:val="15"/>
          <w:rFonts w:ascii="Times New Roman" w:hAnsi="Times New Roman" w:cs="Times New Roman"/>
          <w:color w:val="000000" w:themeColor="text1"/>
          <w:lang w:val="sr-Cyrl-RS"/>
          <w14:textFill>
            <w14:solidFill>
              <w14:schemeClr w14:val="tx1"/>
            </w14:solidFill>
          </w14:textFill>
        </w:rPr>
        <w:footnoteReference w:id="1"/>
      </w:r>
      <w:r>
        <w:rPr>
          <w:rFonts w:ascii="Times New Roman" w:hAnsi="Times New Roman" w:cs="Times New Roman"/>
          <w:color w:val="000000" w:themeColor="text1"/>
          <w:lang w:val="sr-Cyrl-RS"/>
          <w14:textFill>
            <w14:solidFill>
              <w14:schemeClr w14:val="tx1"/>
            </w14:solidFill>
          </w14:textFill>
        </w:rPr>
        <w:t>), нити се ефекти уштеда и користи прате и користе као основ за планирање даљих улагања.</w:t>
      </w:r>
    </w:p>
    <w:p w14:paraId="7064859A">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Учешће грађана и комуникација са корисницима дигиталних услуга постоје, али нису системски развијени. Иако су информације о услугама доступне, недостају структурирани дигитални канали за прикупљање повратних информација, мерење задовољства корисника и активно укључивање грађана у планирање и вредновање паметних решења.</w:t>
      </w:r>
    </w:p>
    <w:p w14:paraId="5B66503E">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планирања, праћења, вредновања и извештавања, идентификован је јасан јаз између оперативне примене и управљачке зрелости. Подаци се генеришу кроз различите системе, али не постоји јединствен оквир са дефинисаним показатељима, почетним вредностима и редовним аналитичким извештавањем које би подржало доношење одлука засновано на подацима.</w:t>
      </w:r>
    </w:p>
    <w:p w14:paraId="7F21388E">
      <w:pPr>
        <w:pStyle w:val="3"/>
        <w:tabs>
          <w:tab w:val="left" w:pos="1418"/>
        </w:tabs>
        <w:rPr>
          <w:color w:val="000000" w:themeColor="text1"/>
          <w:lang w:val="sr-Cyrl-RS"/>
          <w14:textFill>
            <w14:solidFill>
              <w14:schemeClr w14:val="tx1"/>
            </w14:solidFill>
          </w14:textFill>
        </w:rPr>
      </w:pPr>
      <w:bookmarkStart w:id="8" w:name="_Toc229061113"/>
      <w:r>
        <w:rPr>
          <w:color w:val="000000" w:themeColor="text1"/>
          <w:lang w:val="sr-Cyrl-RS"/>
          <w14:textFill>
            <w14:solidFill>
              <w14:schemeClr w14:val="tx1"/>
            </w14:solidFill>
          </w14:textFill>
        </w:rPr>
        <w:t>1.6 Јавна предузећа и јавне установе</w:t>
      </w:r>
      <w:bookmarkEnd w:id="8"/>
    </w:p>
    <w:p w14:paraId="2C597CE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Јавна предузећа и јавне установе у Пироту представљају кључни оперативни ослонац дигиталне трансформације и примене паметних решења. У појединим секторима, нарочито у области вoдоснабдевања, енергетике и комуналне инфраструктуре, примењена су напредна паметна решења која омогућавају ефикасније управљање ресурсима, континуирани надзор система и побољшање квалитета услуга.</w:t>
      </w:r>
    </w:p>
    <w:p w14:paraId="001A3484">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Степен дигиталне трансформације у јавним предузећима је неуједначен, али у кључним комуналним делатностима достиже напредан оперативни ниво. Примена SCADA система, даљинског надзора и дигиталних платформи за управљање инфраструктуром омогућава прикупљање података у реалном времену и бржу реакцију на оперативне изазове. Ова решења представљају значајан технички и организациони капацитет за даљи развој интегрисаног Smart City модела.</w:t>
      </w:r>
    </w:p>
    <w:p w14:paraId="085D6A1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Техничка опремљеност јавних предузећа је адекватна за тренутни ниво примењених решења, а запослени поседују практична знања за рад са специјализованим системима. Ипак, дигиталне компетенције су углавном усмерене на оперативну употребу, док су капацитети за анализу података, извештавање и процену учинака ограничени. Не постоји систематски план развоја дигиталних и аналитичких вештина на нивоу јавног сектора.</w:t>
      </w:r>
    </w:p>
    <w:p w14:paraId="02BAFE46">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Организациони и институционални оквир за примену паметних решења у јавним предузећима није формално повезан са градском управом кроз јединствене протоколе, стандарде и процедуре размене података. Сарадња постоји и функционише на практичном нивоу, али је углавном заснована на секторским решењима и периодичном извештавању, без аутоматизоване размене података и заједничке аналитике.</w:t>
      </w:r>
    </w:p>
    <w:p w14:paraId="5AB97B17">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Капацитет јавних предузећа за даљу примену паметних решења је изражен, како кроз постојећа техничка решења, тако и кроз искуство у реализацији пројеката. Међутим, да би се овај потенцијал у потпуности искористио, неопходно је уједначити приступ дигитализацији између различитих јавних предузећа и установа и обезбедити стандардизоване техничке и управљачке оквире.</w:t>
      </w:r>
    </w:p>
    <w:p w14:paraId="18B410BB">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Кориснички сервис у јавним предузећима је унапређен применом дигиталних алата, али се ефекти ових унапређења не прате систематски. Недостају механизми за редовно прикупљање повратних информација корисника и мерење задовољства, што ограничава могућност континуираног унапређења услуга.</w:t>
      </w:r>
    </w:p>
    <w:p w14:paraId="4EF2A4AF">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планирања, праћења, вредновања и извештавања, јавна предузећа углавном користе наративне и финансијске извештаје, без јасно дефинисаних показатеља учинка и интеграције података у управљачке процесе на нивоу града. Ово представља кључну развојну тачку за наредну фазу Smart City развоја Пирота, у којој би постојећа техничка решења требало повезати са системским управљањем и доношењем одлука заснованим на подацима.</w:t>
      </w:r>
    </w:p>
    <w:p w14:paraId="4DA4A3BE">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402A8584">
      <w:pPr>
        <w:pStyle w:val="3"/>
        <w:tabs>
          <w:tab w:val="left" w:pos="1418"/>
        </w:tabs>
        <w:rPr>
          <w:color w:val="000000" w:themeColor="text1"/>
          <w:lang w:val="sr-Cyrl-RS"/>
          <w14:textFill>
            <w14:solidFill>
              <w14:schemeClr w14:val="tx1"/>
            </w14:solidFill>
          </w14:textFill>
        </w:rPr>
      </w:pPr>
      <w:bookmarkStart w:id="9" w:name="_Toc229061114"/>
      <w:r>
        <w:rPr>
          <w:color w:val="000000" w:themeColor="text1"/>
          <w:lang w:val="sr-Cyrl-RS"/>
          <w14:textFill>
            <w14:solidFill>
              <w14:schemeClr w14:val="tx1"/>
            </w14:solidFill>
          </w14:textFill>
        </w:rPr>
        <w:t>1.7 Могућности за финансирање дигиталне трансформације и развоја паметног града</w:t>
      </w:r>
      <w:bookmarkEnd w:id="9"/>
    </w:p>
    <w:p w14:paraId="4FF1F6B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финансијске одрживости дигиталних и Smart City решења, Град Пирот се налази на функционалном нивоу спремности, са развијеним капацитетима за планирање и реализацију инвестиција које укључују дигиталне компоненте. Град поседује стабилан фискални оквир и искуство у коришћењу различитих извора финансирања, али финансијска одрживост паметних решења још увек није системски сагледана кроз дугорочну перспективу животног циклуса система и мерљивих ефеката.</w:t>
      </w:r>
    </w:p>
    <w:p w14:paraId="10936929">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Једна од кључних предности Града Пирота јесте искуство у планирању и реализацији капиталних пројеката који укључују иновативне и дигиталне елементе, нарочито у областима енергетике, заштите животне средине и комуналне инфраструктуре. Град користи комбинацију сопствених буџетских средстава, републичких фондова, донаторских програма и кредитних линија, чиме се смањује зависност од једног извора финансирања и повећава флексибилност у развоју нових иницијатива.</w:t>
      </w:r>
    </w:p>
    <w:p w14:paraId="0235FBBA">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буџетској пракси, трошкови везани за дигиталне и паметне системе углавном су интегрисани у секторске буџете (нпр. комуналне делатности, енергетика). Потребно је размотрити и посебну буџетску линију за Smart City и дигиталну трансформацију, као и вишегодишњи финансијски план који би обухватио трошкове развоја, одржавања, надоградње и евентуалне замене паметних система.</w:t>
      </w:r>
    </w:p>
    <w:p w14:paraId="6C06BA07">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Анализа указује да се финансијска одрживост паметних решења не процењује систематски кроз моделе укупних трошкова власништва (Total Cost of Ownership – TCO). Трошкови одржавања, лиценци, техничке подршке и будућих надоградњи нису увек унапред сагледани у пуном обиму, што може довести до непредвиђених фискалних оптерећења у средњем или дугом року. Овакав приступ је разумљив у фази увођења нових технологија, али представља ограничење за дугорочну надоградњу паметних решења.</w:t>
      </w:r>
    </w:p>
    <w:p w14:paraId="591B85DF">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Потенцијал за остваривање финансијских уштеда и додатних прихода кроз паметна решења је препознат, али не и квантификован. На пример, системи у области енергетике, водоснабдевања и паркинга имају потенцијал да генеришу мерљиве уштеде или повећају ефикасност наплате, али ти ефекти се тренутно не прате кроз јасно дефинисане финансијске показатеље. Не постоји механизам којим би се део остварених уштеда плански реинвестирао у даљи развој дигиталних и паметних система.</w:t>
      </w:r>
    </w:p>
    <w:p w14:paraId="0FEB9900">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сарадње са приватним сектором, Град Пирот има позитивна искуства са јавно-приватним партнерствима и ESCO моделима, нарочито у енергетици. Ова искуства су драгоцена за даље укључивање приватног сектора у развој Smart City решења. Ипак, потребно је развити јасније критеријуме и стандарде за паметне пројекте кроз јавно-приватна партнерства, посебно у погледу управљања подацима, интероперабилности система и дугорочне финансијске одрживости.</w:t>
      </w:r>
    </w:p>
    <w:p w14:paraId="5C59586F">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Упркос наведеним изазовима, ризик од потпуног прекида функционисања постојећих паметних решења у Пироту оцењује се као релативно низак, захваљујући стабилним буџетским капацитетима и институционалној зрелости града. Међутим, без додатне систематизације финансијског планирања, постоји ризик да се даљи развој паметних решења успори или остане зависан од повремених пројектних прилика.</w:t>
      </w:r>
    </w:p>
    <w:p w14:paraId="6AA28672">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целини посматрано, финансијска одрживост Smart City решења у Граду Пироту има солидну основу, али прелазак на напреднији ниво захтева увођење вишегодишњег финансијског планирања, TCO модела и механизама за мерење и реинвестирање финансијских ефеката. Овај искорак би омогућио граду да постојећа паметна решења дугорочно одржава, шири и користи као алат за ефикасније управљање јавним ресурсима.</w:t>
      </w:r>
    </w:p>
    <w:p w14:paraId="780CA15F">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1797B12D">
      <w:pPr>
        <w:pStyle w:val="3"/>
        <w:tabs>
          <w:tab w:val="left" w:pos="1418"/>
        </w:tabs>
        <w:rPr>
          <w:color w:val="000000" w:themeColor="text1"/>
          <w:lang w:val="sr-Cyrl-RS"/>
          <w14:textFill>
            <w14:solidFill>
              <w14:schemeClr w14:val="tx1"/>
            </w14:solidFill>
          </w14:textFill>
        </w:rPr>
      </w:pPr>
      <w:bookmarkStart w:id="10" w:name="_Toc229061115"/>
      <w:r>
        <w:rPr>
          <w:color w:val="000000" w:themeColor="text1"/>
          <w:lang w:val="sr-Cyrl-RS"/>
          <w14:textFill>
            <w14:solidFill>
              <w14:schemeClr w14:val="tx1"/>
            </w14:solidFill>
          </w14:textFill>
        </w:rPr>
        <w:t>1.8 Праћење и вредновање учинка и ефеката дигиталне трансформације</w:t>
      </w:r>
      <w:bookmarkEnd w:id="10"/>
    </w:p>
    <w:p w14:paraId="3174C1F9">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области планирања, управљања и праћења учинака дигиталних и Smart City решења, Град Пирот се налази на нивоу у развоју, са постојећим изворима података и искуством у пројектном управљању, али без системски дефинисаног оквира за мерење перформанси и евалуацију ефеката паметних интервенција.</w:t>
      </w:r>
    </w:p>
    <w:p w14:paraId="674230E4">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 Пирот у пракси генерише значајне количине оперативних података, нарочито кроз комуналне и енергетске системе. Међутим, њихова употреба је углавном ограничена на оперативни ниво, без систематске агрегације и анализе на нивоу града.</w:t>
      </w:r>
    </w:p>
    <w:p w14:paraId="715A86F2">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Планирање и праћење пројеката спроводи се кроз стандардне пројектне и буџетске процедуре, нарочито у оквиру инвестиција финансираних из екстерних извора. Град има искуство у извештавању према донаторима и институцијама, што указује на развијене административне капацитете. Ипак, ови механизми нису прилагођени континуираном праћењу учинака Smart City решења у свакодневном раду, већ су претежно пројектно оријентисани и временски ограничени.</w:t>
      </w:r>
    </w:p>
    <w:p w14:paraId="38F7F63D">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Кључни структурни недостатак ове области јесте непостојање јасно дефинисаног система индикатора учинка за Smart City и дигиталну трансформацију. Не постоје почетна мерења (baseline), циљне вредности нити методологија која би омогућила праћење напретка кроз време и процену стварних ефеката паметних решења на ефикасност услуга, животну средину и квалитет живота грађана.</w:t>
      </w:r>
    </w:p>
    <w:p w14:paraId="1BAE539C">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Организационо, нису формално дефинисане одговорности за мониторинг и евалуацију. Не постоји именована јединица или тим са мандатом да прикупља, анализира и интерпретира податке из различитих система и да их преводи у управљачке информације за руководство града. Као последица, аналитичке вештине су и даље недовољне а одлуке се доносе претежно на основу искуства и појединачних извештаја, а не на основу структурираних података.</w:t>
      </w:r>
    </w:p>
    <w:p w14:paraId="09CA4C29">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Додатни изазов представља недовољна интеграција података у процес стратешког планирања. Иако су Smart City и дигитални елементи веома присутни у развојним документима, постојећа паметна решења нису међусобно увезана, не мере се њихови синергијски ефекти и подаци се не користе за планирање. Тиме се пропушта прилика да се планирање заснива на стварним резултатима и наученим лекцијама.</w:t>
      </w:r>
    </w:p>
    <w:p w14:paraId="30D8751F">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Упркос овим ограничењима, Град Пирот има значајан потенцијал за брз напредак у овој области. Постоје поуздани извори података, развијени пројектни капацитети и институционална спремност за унапређење управљања. Увођење основног, али јасно дефинисаног оквира за праћење и евалуацију, са приоритетним показатељима, одговорностима и редовним извештавањем, могло би релативно брзо да подигне укупан ниво Smart City зрелости и омогући да се постојећа улагања искористе ефикасније и транспарентније.</w:t>
      </w:r>
    </w:p>
    <w:p w14:paraId="7B11F0E3">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 целини посматрано, област планирања, управљања и праћења учинака представља кључну карику за даљи Smart City развој Града Пирота. Без системског мерења ефеката, паметна решења остају технолошки напредна, али управљачки недовољно искоришћена. Успостављање оквира за праћење учинака и ефеката, заснованог на подацима, представља један од најважнијих корака ка одрживом, одговорном и доказима поткрепљеном управљању паметним градом.</w:t>
      </w:r>
    </w:p>
    <w:p w14:paraId="7FA890B2">
      <w:pPr>
        <w:tabs>
          <w:tab w:val="left" w:pos="1418"/>
        </w:tabs>
        <w:jc w:val="both"/>
        <w:rPr>
          <w:rFonts w:ascii="Times New Roman" w:hAnsi="Times New Roman" w:cs="Times New Roman"/>
          <w:color w:val="000000" w:themeColor="text1"/>
          <w:lang w:val="sr-Cyrl-RS"/>
          <w14:textFill>
            <w14:solidFill>
              <w14:schemeClr w14:val="tx1"/>
            </w14:solidFill>
          </w14:textFill>
        </w:rPr>
      </w:pPr>
    </w:p>
    <w:p w14:paraId="7A53315E">
      <w:pPr>
        <w:pStyle w:val="3"/>
        <w:rPr>
          <w:color w:val="auto"/>
          <w:lang w:val="sr-Cyrl-RS"/>
        </w:rPr>
      </w:pPr>
      <w:bookmarkStart w:id="11" w:name="_Toc229061116"/>
      <w:r>
        <w:rPr>
          <w:color w:val="auto"/>
          <w:lang w:val="sr-Cyrl-RS"/>
        </w:rPr>
        <w:t>1.9 Мишљење грађана</w:t>
      </w:r>
      <w:bookmarkEnd w:id="11"/>
    </w:p>
    <w:p w14:paraId="1D01E9CB">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У оквиру израде Плана дигиталне трансформације и развоја паметног града организована је онлајн анкета за грађане у марту 2026. године, са циљем прикупљања мишљења и ставова о квалитету живота, јавним услугама и приоритетима за развој паметних решења. Резултати анкете пружају важан увид у потребе и очекивања грађана и представљају један од основа за дефинисање мера и приоритета у оквиру Плана.</w:t>
      </w:r>
    </w:p>
    <w:p w14:paraId="6D72C2CC">
      <w:pPr>
        <w:spacing w:after="0" w:line="240" w:lineRule="auto"/>
        <w:jc w:val="both"/>
        <w:rPr>
          <w:rFonts w:ascii="Times New Roman" w:hAnsi="Times New Roman" w:eastAsia="Calibri" w:cs="Times New Roman"/>
          <w:kern w:val="0"/>
          <w:szCs w:val="22"/>
          <w:lang w:val="sr-Cyrl-RS"/>
        </w:rPr>
      </w:pPr>
    </w:p>
    <w:p w14:paraId="66A7F2D6">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Анкета је обухватила 28 испитаника, од којих већину чине мушкарци (82,1%), уз доминацију старосне групе од 36 до 50 година (75%). Већина испитаника има високо образовање (75%), а највећи број живи у центру града (71,4%). Сви испитаници користе паметни мобилни телефон, док већина користи рачунар и код куће и на послу, што указује на постојање основних предуслова за развој дигиталних и паметних услуга у локалној заједници.</w:t>
      </w:r>
    </w:p>
    <w:p w14:paraId="541BD6C7">
      <w:pPr>
        <w:spacing w:after="0" w:line="240" w:lineRule="auto"/>
        <w:jc w:val="both"/>
        <w:rPr>
          <w:rFonts w:ascii="Times New Roman" w:hAnsi="Times New Roman" w:eastAsia="Calibri" w:cs="Times New Roman"/>
          <w:kern w:val="0"/>
          <w:szCs w:val="22"/>
          <w:lang w:val="sr-Cyrl-RS"/>
        </w:rPr>
      </w:pPr>
    </w:p>
    <w:p w14:paraId="4B0B84BB">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b/>
          <w:kern w:val="0"/>
          <w:szCs w:val="22"/>
          <w:lang w:val="sr-Cyrl-RS"/>
        </w:rPr>
        <w:t xml:space="preserve">Квалитет живота и локалних услуга: </w:t>
      </w:r>
      <w:r>
        <w:rPr>
          <w:rFonts w:ascii="Times New Roman" w:hAnsi="Times New Roman" w:eastAsia="Calibri" w:cs="Times New Roman"/>
          <w:kern w:val="0"/>
          <w:szCs w:val="22"/>
          <w:lang w:val="sr-Cyrl-RS"/>
        </w:rPr>
        <w:t>Испитаници су умерено оценили квалитет јавних услуга и услова живота у локалној заједници, уз значајне разлике између појединих области. Релативно боље оцене добили су водоснабдевање, уређеност јавних простора и квалитет воде, док је најнижи ниво задовољства везан за квалитет ваздуха, заштиту животне средине, урбану мобилност и паркирање, система грејања. Ови резултати указују да грађани препознају значајне еколошке и инфраструктурне изазове као кључне факторе који утичу на квалитет живота, при чему се посебно издваја проблем загађења ваздуха као један од најважнијих локалних изазова.</w:t>
      </w:r>
    </w:p>
    <w:p w14:paraId="13EFDE1E">
      <w:pPr>
        <w:spacing w:after="0" w:line="240" w:lineRule="auto"/>
        <w:jc w:val="both"/>
        <w:rPr>
          <w:rFonts w:ascii="Times New Roman" w:hAnsi="Times New Roman" w:eastAsia="Calibri" w:cs="Times New Roman"/>
          <w:kern w:val="0"/>
          <w:szCs w:val="22"/>
          <w:lang w:val="sr-Cyrl-RS"/>
        </w:rPr>
      </w:pPr>
    </w:p>
    <w:p w14:paraId="68AB282D">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b/>
          <w:kern w:val="0"/>
          <w:szCs w:val="22"/>
          <w:lang w:val="sr-Cyrl-RS"/>
        </w:rPr>
        <w:t>Рад локалне самоуправе и комуникација са грађанима:</w:t>
      </w:r>
      <w:r>
        <w:rPr>
          <w:rFonts w:ascii="Times New Roman" w:hAnsi="Times New Roman" w:eastAsia="Calibri" w:cs="Times New Roman"/>
          <w:kern w:val="0"/>
          <w:szCs w:val="22"/>
          <w:lang w:val="sr-Cyrl-RS"/>
        </w:rPr>
        <w:t xml:space="preserve"> Испитаници су рад локалне самоуправе оценили као задовољавајући, али са простором за унапређење у области комуникације и укључивања грађана. Најбоље оцене добила је ефикасност у пружању услуга, док су ниже оцене забележене у областима пријаве комуналних проблема, информисања грађана и консултација са јавношћу. </w:t>
      </w:r>
    </w:p>
    <w:p w14:paraId="1F907BFD">
      <w:pPr>
        <w:spacing w:after="0" w:line="240" w:lineRule="auto"/>
        <w:jc w:val="both"/>
        <w:rPr>
          <w:rFonts w:ascii="Times New Roman" w:hAnsi="Times New Roman" w:eastAsia="Calibri" w:cs="Times New Roman"/>
          <w:kern w:val="0"/>
          <w:szCs w:val="22"/>
          <w:lang w:val="sr-Cyrl-RS"/>
        </w:rPr>
      </w:pPr>
    </w:p>
    <w:p w14:paraId="5D2A163F">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Ови налази указују на потребу за јачањем транспарентности, унапређењем канала комуникације са грађанима и развојем системских механизама за њихово активно учешће у процесима планирања и управљања локалним развојем.</w:t>
      </w:r>
    </w:p>
    <w:p w14:paraId="32A44A86">
      <w:pPr>
        <w:spacing w:after="0" w:line="240" w:lineRule="auto"/>
        <w:jc w:val="both"/>
        <w:rPr>
          <w:rFonts w:ascii="Times New Roman" w:hAnsi="Times New Roman" w:eastAsia="Calibri" w:cs="Times New Roman"/>
          <w:kern w:val="0"/>
          <w:szCs w:val="22"/>
          <w:lang w:val="sr-Cyrl-RS"/>
        </w:rPr>
      </w:pPr>
    </w:p>
    <w:p w14:paraId="63CBD623">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b/>
          <w:kern w:val="0"/>
          <w:szCs w:val="22"/>
          <w:lang w:val="sr-Cyrl-RS"/>
        </w:rPr>
        <w:t>Коришћење електронских услуга и паметних решења:</w:t>
      </w:r>
      <w:r>
        <w:rPr>
          <w:rFonts w:ascii="Times New Roman" w:hAnsi="Times New Roman" w:eastAsia="Calibri" w:cs="Times New Roman"/>
          <w:kern w:val="0"/>
          <w:szCs w:val="22"/>
          <w:lang w:val="sr-Cyrl-RS"/>
        </w:rPr>
        <w:t xml:space="preserve"> Коришћење дигиталних услуга локалне самоуправе је релативно ограничено, јер је више од половине испитаника навело да није користило електронске сервисе у последњих годину дана. Чак и међу корисницима, искуство са дигиталним услугама често је оцењено као осредње, са значајним простором за унапређење. Најчешћи разлози за некоришћење електронских услуга су недовољна информисаност о постојању дигиталних услуга, перцепција да су процедуре сложене, недовољна функционалност постојећих дигиталних сервиса.</w:t>
      </w:r>
    </w:p>
    <w:p w14:paraId="1DE2E64B">
      <w:pPr>
        <w:spacing w:after="0" w:line="240" w:lineRule="auto"/>
        <w:jc w:val="both"/>
        <w:rPr>
          <w:rFonts w:ascii="Times New Roman" w:hAnsi="Times New Roman" w:eastAsia="Calibri" w:cs="Times New Roman"/>
          <w:kern w:val="0"/>
          <w:szCs w:val="22"/>
          <w:lang w:val="sr-Cyrl-RS"/>
        </w:rPr>
      </w:pPr>
    </w:p>
    <w:p w14:paraId="24A97C1A">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Ови резултати указују да је потребна пре интензивнија промоција електронских услуга и подршка грађанима у њиховом коришћењу.</w:t>
      </w:r>
    </w:p>
    <w:p w14:paraId="150AB569">
      <w:pPr>
        <w:spacing w:after="0" w:line="240" w:lineRule="auto"/>
        <w:jc w:val="both"/>
        <w:rPr>
          <w:rFonts w:ascii="Times New Roman" w:hAnsi="Times New Roman" w:eastAsia="Calibri" w:cs="Times New Roman"/>
          <w:kern w:val="0"/>
          <w:szCs w:val="22"/>
          <w:lang w:val="sr-Cyrl-RS"/>
        </w:rPr>
      </w:pPr>
    </w:p>
    <w:p w14:paraId="56DE26F4">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b/>
          <w:kern w:val="0"/>
          <w:szCs w:val="22"/>
          <w:lang w:val="sr-Cyrl-RS"/>
        </w:rPr>
        <w:t>Приоритети за развој паметних решења:</w:t>
      </w:r>
      <w:r>
        <w:rPr>
          <w:rFonts w:ascii="Times New Roman" w:hAnsi="Times New Roman" w:eastAsia="Calibri" w:cs="Times New Roman"/>
          <w:kern w:val="0"/>
          <w:szCs w:val="22"/>
          <w:lang w:val="sr-Cyrl-RS"/>
        </w:rPr>
        <w:t xml:space="preserve"> Као најважније области за развој паметних решења у наредних пет година, испитаници су наводили:</w:t>
      </w:r>
    </w:p>
    <w:p w14:paraId="2389461E">
      <w:pPr>
        <w:numPr>
          <w:ilvl w:val="0"/>
          <w:numId w:val="5"/>
        </w:numPr>
        <w:spacing w:after="0" w:line="240" w:lineRule="auto"/>
        <w:contextualSpacing/>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 xml:space="preserve">потребу за развојем функционалног и транспарентног дигиталног портала града, који би омогућио једноставан приступ информацијама, плановима развоја и комуникацију са грађанима, </w:t>
      </w:r>
    </w:p>
    <w:p w14:paraId="6453C0D1">
      <w:pPr>
        <w:numPr>
          <w:ilvl w:val="0"/>
          <w:numId w:val="5"/>
        </w:numPr>
        <w:spacing w:after="0" w:line="240" w:lineRule="auto"/>
        <w:contextualSpacing/>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 xml:space="preserve">увођење интегрисаног паметног комуналног система који повезује водовод, канализацију, јавну расвету, управљање отпадом и мониторинг квалитета ваздуха, </w:t>
      </w:r>
    </w:p>
    <w:p w14:paraId="7C18FC8C">
      <w:pPr>
        <w:numPr>
          <w:ilvl w:val="0"/>
          <w:numId w:val="5"/>
        </w:numPr>
        <w:spacing w:after="0" w:line="240" w:lineRule="auto"/>
        <w:contextualSpacing/>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 xml:space="preserve">унапређење система управљања саобраћајем и паркирањем, укључујући паметне показиваче слободних паркинг места и ефикаснију контролу коришћења јавних површина, </w:t>
      </w:r>
    </w:p>
    <w:p w14:paraId="659D72E7">
      <w:pPr>
        <w:numPr>
          <w:ilvl w:val="0"/>
          <w:numId w:val="5"/>
        </w:numPr>
        <w:spacing w:after="0" w:line="240" w:lineRule="auto"/>
        <w:contextualSpacing/>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 xml:space="preserve">јачање система заштите животне средине, посебно у области праћења и смањења загађења ваздуха и управљања дивљим депонијама, </w:t>
      </w:r>
    </w:p>
    <w:p w14:paraId="644E056C">
      <w:pPr>
        <w:numPr>
          <w:ilvl w:val="0"/>
          <w:numId w:val="5"/>
        </w:numPr>
        <w:spacing w:after="0" w:line="240" w:lineRule="auto"/>
        <w:contextualSpacing/>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 xml:space="preserve">увођење дигиталних платформи и мобилних апликација за пријаву и праћење комуналних проблема у реалном времену. </w:t>
      </w:r>
    </w:p>
    <w:p w14:paraId="2032E397">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kern w:val="0"/>
          <w:szCs w:val="22"/>
          <w:lang w:val="sr-Cyrl-RS"/>
        </w:rPr>
        <w:t>Посебно је наглашена потреба за већом транспарентношћу у раду локалне самоуправе, бржим реаговањем на проблеме и модернизацијом постојећих система управљања, што указује да грађани препознају дигитализацију и интеграцију система као кључни предуслов за унапређење квалитета живота у граду.</w:t>
      </w:r>
    </w:p>
    <w:p w14:paraId="5B51EC26">
      <w:pPr>
        <w:spacing w:after="0" w:line="240" w:lineRule="auto"/>
        <w:jc w:val="both"/>
        <w:rPr>
          <w:rFonts w:ascii="Times New Roman" w:hAnsi="Times New Roman" w:eastAsia="Calibri" w:cs="Times New Roman"/>
          <w:kern w:val="0"/>
          <w:szCs w:val="22"/>
          <w:lang w:val="sr-Cyrl-RS"/>
        </w:rPr>
      </w:pPr>
    </w:p>
    <w:p w14:paraId="70DD54E7">
      <w:pPr>
        <w:spacing w:after="0" w:line="240" w:lineRule="auto"/>
        <w:jc w:val="both"/>
        <w:rPr>
          <w:rFonts w:ascii="Times New Roman" w:hAnsi="Times New Roman" w:eastAsia="Calibri" w:cs="Times New Roman"/>
          <w:kern w:val="0"/>
          <w:szCs w:val="22"/>
          <w:lang w:val="sr-Cyrl-RS"/>
        </w:rPr>
      </w:pPr>
      <w:r>
        <w:rPr>
          <w:rFonts w:ascii="Times New Roman" w:hAnsi="Times New Roman" w:eastAsia="Calibri" w:cs="Times New Roman"/>
          <w:b/>
          <w:kern w:val="0"/>
          <w:szCs w:val="22"/>
          <w:lang w:val="sr-Cyrl-RS"/>
        </w:rPr>
        <w:t>Спремност грађана за учешће у развоју паметног града:</w:t>
      </w:r>
      <w:r>
        <w:rPr>
          <w:rFonts w:ascii="Times New Roman" w:hAnsi="Times New Roman" w:eastAsia="Calibri" w:cs="Times New Roman"/>
          <w:kern w:val="0"/>
          <w:szCs w:val="22"/>
          <w:lang w:val="sr-Cyrl-RS"/>
        </w:rPr>
        <w:t xml:space="preserve"> Резултати показују релативно висок ниво интересовања грађана за учешће у развоју града, јер је значајан број испитаника изразио спремност или потенцијалну спремност за учешће у консултацијама и обукама на тему дигиталне трансформације и паметних решења. Ово указује на постојање основа за развој партнерског односа између локалне самоуправе и грађана, али и на потребу за системским развојем механизама учешћа јавности, кроз редовне консултације, едукативне програме и кампање, једноставне и доступне дигиталне канале комуникације.</w:t>
      </w:r>
    </w:p>
    <w:p w14:paraId="75EC480A">
      <w:pPr>
        <w:pStyle w:val="51"/>
        <w:rPr>
          <w:lang w:val="sr-Cyrl-RS"/>
        </w:rPr>
      </w:pPr>
    </w:p>
    <w:p w14:paraId="6499DB8E">
      <w:pPr>
        <w:pStyle w:val="3"/>
        <w:tabs>
          <w:tab w:val="left" w:pos="1418"/>
        </w:tabs>
        <w:rPr>
          <w:b w:val="0"/>
          <w:bCs w:val="0"/>
          <w:color w:val="000000" w:themeColor="text1"/>
          <w:lang w:val="sr-Cyrl-RS"/>
          <w14:textFill>
            <w14:solidFill>
              <w14:schemeClr w14:val="tx1"/>
            </w14:solidFill>
          </w14:textFill>
        </w:rPr>
      </w:pPr>
      <w:bookmarkStart w:id="12" w:name="_Toc229061117"/>
      <w:r>
        <w:rPr>
          <w:color w:val="000000" w:themeColor="text1"/>
          <w:lang w:val="sr-Cyrl-RS"/>
          <w14:textFill>
            <w14:solidFill>
              <w14:schemeClr w14:val="tx1"/>
            </w14:solidFill>
          </w14:textFill>
        </w:rPr>
        <w:t>1.10 Закључци и препоруке</w:t>
      </w:r>
      <w:bookmarkEnd w:id="12"/>
    </w:p>
    <w:p w14:paraId="050F5BC9">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Анализа почетног стања дигиталне зрелости и спремности Града Пирота за паметна решења указује да град располаже снажним институционалним, техничким и комуналним капацитетима који омогућавају не само оперативну примену, већ и стратешко усмеравање градских решења у више праваца. Дигитална трансформација у Пироту је препозната и примењивана као део шире развојне политике, нарочито у областима енергетске ефикасности, заштите животне средине и управљања комуналном инфраструктуром, што град позиционира изнад просечног нивоа дигиталне зрелости у односу на друге локалне самоуправе. Међутим, и поред високог степена оперативне развијености, Smart City приступ још увек није у потпуности заокружен кроз јединствени управљачки оквир који би објединио постојећа решења, стандардизовао управљање подацима и омогућио систематско праћење учинака и дугорочних ефеката.</w:t>
      </w:r>
    </w:p>
    <w:p w14:paraId="3940D150">
      <w:pPr>
        <w:tabs>
          <w:tab w:val="left" w:pos="1418"/>
        </w:tabs>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Изостанак формализованог Smart City оквира, централне аналитичке функције и јасно дефинисаног система индикатора ограничава могућност да се постојећа паметна решења користе као алат за управљачко одлучивање засновано на подацима. Истовремено, солидна техничка инфраструктура, искуство у реализацији комплексних пројеката, развијена јавно-комунална предузећа и досадашња примена иновативних финансијских и енергетских модела представљају изузетно повољну основу за даљи развој. Даља интеграција паметних система, посебно у областима енергетике, водоснабдевања и управљања ресурсима и јавним површинама, има потенцијал да додатно унапреди ефикасност, финансијску одрживост и транспарентност градских услуга. Томе свакако може допринети и планирано унапређење паметног система за управљање паркирањем, са циљем повећања ефикасности, лакшег проналажења слободних паркинг места, смањења саобраћајних гужви и емисија штетних гасова, као и унапређења транспарентности и наплате прихода од паркирања.</w:t>
      </w:r>
    </w:p>
    <w:p w14:paraId="06AAB2BF">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Препоруке за разматрање у изради Smart City плана</w:t>
      </w:r>
    </w:p>
    <w:p w14:paraId="5D980434">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p>
    <w:p w14:paraId="2BE62F49">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1. Стратешки и институционални оквир (2026–2027)</w:t>
      </w:r>
    </w:p>
    <w:p w14:paraId="38B0C8AE">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Консолидовати постојећи напредни приступ у јединствен, формално управљан Smart City систем.</w:t>
      </w:r>
    </w:p>
    <w:p w14:paraId="710F87C9">
      <w:pPr>
        <w:numPr>
          <w:ilvl w:val="0"/>
          <w:numId w:val="6"/>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Усвојити оперативни Smart City план 2026–2030, као посебан документ или интегрисани део Плана развоја, са јасно дефинисаним приоритетима, фазама и индикаторима.</w:t>
      </w:r>
    </w:p>
    <w:p w14:paraId="7BD91C48">
      <w:pPr>
        <w:numPr>
          <w:ilvl w:val="0"/>
          <w:numId w:val="6"/>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Формализовати институционални оквир управљања Smart City развојем: координатор, стално координационо тело и јасни односи на линији ЈЛС-ЈКП–партнери.</w:t>
      </w:r>
    </w:p>
    <w:p w14:paraId="531EF682">
      <w:pPr>
        <w:numPr>
          <w:ilvl w:val="0"/>
          <w:numId w:val="6"/>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Допунити нормативни оквир усвајањем интерних аката о управљању подацима, отвореним подацима и процедурама за увођење smart решења.</w:t>
      </w:r>
    </w:p>
    <w:p w14:paraId="65E3B8E8">
      <w:pPr>
        <w:numPr>
          <w:ilvl w:val="0"/>
          <w:numId w:val="6"/>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Стандардизовати праксу јавних набавки за паметна решења (уговорне клаузуле, безбедност, доступност система, власништво над подацима, одржавање).</w:t>
      </w:r>
    </w:p>
    <w:p w14:paraId="6C399AC2">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2. Техничка основа и управљање подацима (2026–2028)</w:t>
      </w:r>
    </w:p>
    <w:p w14:paraId="78F2F5B1">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Претворити постојеће системе у поуздан извор података за управљање и одлучивање.</w:t>
      </w:r>
    </w:p>
    <w:p w14:paraId="1BC872D3">
      <w:pPr>
        <w:numPr>
          <w:ilvl w:val="0"/>
          <w:numId w:val="7"/>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Увести јединствена правила за прикупљање, чување, ажурирање и размену података, уз прелазак на машински читљиве формате.</w:t>
      </w:r>
    </w:p>
    <w:p w14:paraId="73E9D54D">
      <w:pPr>
        <w:numPr>
          <w:ilvl w:val="0"/>
          <w:numId w:val="7"/>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Унапредити интероперабилност база података, посебно у секторима водоснабдевања, мобилности, енергетике и паркинга.</w:t>
      </w:r>
    </w:p>
    <w:p w14:paraId="6CA8E434">
      <w:pPr>
        <w:numPr>
          <w:ilvl w:val="0"/>
          <w:numId w:val="7"/>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Дефинисати техничке приоритете (складиштење података, резервне копије, cloud решења) у складу са растућим бројем smart система.</w:t>
      </w:r>
    </w:p>
    <w:p w14:paraId="26479B33">
      <w:pPr>
        <w:numPr>
          <w:ilvl w:val="0"/>
          <w:numId w:val="7"/>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Додатно ојачати ИКТ безбедност и заштиту података, пропорционално ширењу интернета ствари (IoT) и smart инфраструктуре.</w:t>
      </w:r>
    </w:p>
    <w:p w14:paraId="2419B431">
      <w:pPr>
        <w:numPr>
          <w:ilvl w:val="0"/>
          <w:numId w:val="7"/>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Систематски промовисати е-услуге и отворене податке према грађанима, академским институцијама, организацијама цивилног друштва и привреди.</w:t>
      </w:r>
    </w:p>
    <w:p w14:paraId="09228C47">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3. Организација, људски ресурси и аналитика (2026–2029)</w:t>
      </w:r>
    </w:p>
    <w:p w14:paraId="0D6C366B">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Прећи са индивидуалне експертизе на институционализовану аналитичку способност.</w:t>
      </w:r>
    </w:p>
    <w:p w14:paraId="0B706A4F">
      <w:pPr>
        <w:numPr>
          <w:ilvl w:val="0"/>
          <w:numId w:val="8"/>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Ојачати ИКТ организацију кроз попуњавање систематизованих радних места и јасну поделу одговорности.</w:t>
      </w:r>
    </w:p>
    <w:p w14:paraId="72AB1E74">
      <w:pPr>
        <w:numPr>
          <w:ilvl w:val="0"/>
          <w:numId w:val="8"/>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Формално успоставити Smart City координационо тело са јасним мандатом и редовним начином рада.</w:t>
      </w:r>
    </w:p>
    <w:p w14:paraId="29BC4C77">
      <w:pPr>
        <w:numPr>
          <w:ilvl w:val="0"/>
          <w:numId w:val="8"/>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Ажурирати описе послова како би се јасно дефинисале улоге везане за е-управу, податке и паметна решења.</w:t>
      </w:r>
    </w:p>
    <w:p w14:paraId="37CE42AE">
      <w:pPr>
        <w:numPr>
          <w:ilvl w:val="0"/>
          <w:numId w:val="8"/>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Успоставити централну аналитичку функцију или тим задужен за показатеље, обраду података и извештавање руководству.</w:t>
      </w:r>
    </w:p>
    <w:p w14:paraId="7EE0D1B1">
      <w:pPr>
        <w:numPr>
          <w:ilvl w:val="0"/>
          <w:numId w:val="8"/>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Развити циљани вишегодишњи програм обука (управљање подацима, интероперабилност, IoT, M&amp;E).</w:t>
      </w:r>
    </w:p>
    <w:p w14:paraId="11D97441">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4. ЈКП као кључни носиоци Smart City система (2026–2030)</w:t>
      </w:r>
    </w:p>
    <w:p w14:paraId="5E4DAC51">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Претворити комунални сектор у главни извор података и оперативне интелигенције града.</w:t>
      </w:r>
    </w:p>
    <w:p w14:paraId="64D87CEF">
      <w:pPr>
        <w:numPr>
          <w:ilvl w:val="0"/>
          <w:numId w:val="9"/>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Проширити примену дигиталних и smart решења и на остале комуналне делатности, ослањајући се на постојећа успешна решења.</w:t>
      </w:r>
    </w:p>
    <w:p w14:paraId="603DD109">
      <w:pPr>
        <w:numPr>
          <w:ilvl w:val="0"/>
          <w:numId w:val="9"/>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Стандардизовати размену података ЈКП–ЈЛС, уз прелазак са PDF/Word извештаја на машински читљиве формате.</w:t>
      </w:r>
    </w:p>
    <w:p w14:paraId="3E893BE8">
      <w:pPr>
        <w:numPr>
          <w:ilvl w:val="0"/>
          <w:numId w:val="9"/>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Јасно дефинисати улоге и одговорности ЈКП у Smart City оквиру, укључујући праћење перформанси и извештавање.</w:t>
      </w:r>
    </w:p>
    <w:p w14:paraId="31CC13DD">
      <w:pPr>
        <w:numPr>
          <w:ilvl w:val="0"/>
          <w:numId w:val="9"/>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Уложити у циљане обуке запослених у ЈКП (дигитална писменост, рад са подацима, коришћење smart система, аналитика).</w:t>
      </w:r>
    </w:p>
    <w:p w14:paraId="7D22E44A">
      <w:pPr>
        <w:numPr>
          <w:ilvl w:val="0"/>
          <w:numId w:val="9"/>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Планирати интеграцију података из ЈКП у јединствени градски аналитички оквир.</w:t>
      </w:r>
    </w:p>
    <w:p w14:paraId="3E9CF760">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5. Финансијска одрживост (2026–2030)</w:t>
      </w:r>
    </w:p>
    <w:p w14:paraId="26CAE788">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Обезбедити да паметна решења буду дугорочно финансијски одржива и надоградивa.</w:t>
      </w:r>
    </w:p>
    <w:p w14:paraId="51211516">
      <w:pPr>
        <w:numPr>
          <w:ilvl w:val="0"/>
          <w:numId w:val="10"/>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Израдити План финансијске одрживости Smart City решења, који обухвата одржавање, замену опреме, лиценце, обуке и надоградње.</w:t>
      </w:r>
    </w:p>
    <w:p w14:paraId="7D32CE2C">
      <w:pPr>
        <w:numPr>
          <w:ilvl w:val="0"/>
          <w:numId w:val="10"/>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Увести TCO (Total Cost of Ownership) приступ као стандард за будуће набавке smart и софтверских решења.</w:t>
      </w:r>
    </w:p>
    <w:p w14:paraId="211C5E61">
      <w:pPr>
        <w:numPr>
          <w:ilvl w:val="0"/>
          <w:numId w:val="10"/>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Комбиновати различите изворе финансирања (буџет, фондови, донатори, задужење, ЈПП).</w:t>
      </w:r>
    </w:p>
    <w:p w14:paraId="585D7465">
      <w:pPr>
        <w:numPr>
          <w:ilvl w:val="0"/>
          <w:numId w:val="10"/>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Развити моделе прихода и уштеда (паркинг, енергија, ефикасност система) и повезати их са даљим улагањима (нпр. фонд за модернизацију).</w:t>
      </w:r>
    </w:p>
    <w:p w14:paraId="144739A2">
      <w:pPr>
        <w:numPr>
          <w:ilvl w:val="0"/>
          <w:numId w:val="10"/>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Ускладити буџетско планирање са Smart City планом кроз вишегодишњи оквир.</w:t>
      </w:r>
    </w:p>
    <w:p w14:paraId="0B7AC7C2">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6. Интеграција и коришћење паметних решења (2026–2030)</w:t>
      </w:r>
    </w:p>
    <w:p w14:paraId="004E1108">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Прећи са појединачних система на интегрисано урбано управљање.</w:t>
      </w:r>
    </w:p>
    <w:p w14:paraId="4DF0122F">
      <w:pPr>
        <w:numPr>
          <w:ilvl w:val="0"/>
          <w:numId w:val="11"/>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Размотрити развој јединствене Smart City интегрисане платформе, са јасном архитектуром и правилима интеграције.</w:t>
      </w:r>
    </w:p>
    <w:p w14:paraId="0DF66A59">
      <w:pPr>
        <w:numPr>
          <w:ilvl w:val="0"/>
          <w:numId w:val="11"/>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Формализовати техничку процену компатибилности као обавезан корак пре увођења нових smart решења.</w:t>
      </w:r>
    </w:p>
    <w:p w14:paraId="415A8EF4">
      <w:pPr>
        <w:numPr>
          <w:ilvl w:val="0"/>
          <w:numId w:val="11"/>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Успоставити формалне протоколе размене података између ЈЛС, ЈКП и партнера.</w:t>
      </w:r>
    </w:p>
    <w:p w14:paraId="4A2B1070">
      <w:pPr>
        <w:numPr>
          <w:ilvl w:val="0"/>
          <w:numId w:val="11"/>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Развијати интерне компетенције за рад са интеграционим платформама, API комуникацијом и контролним таблама (dashboard).</w:t>
      </w:r>
    </w:p>
    <w:p w14:paraId="712284CE">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7. Грађани, партиципација и комуникација (2026–2030)</w:t>
      </w:r>
    </w:p>
    <w:p w14:paraId="544DD729">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Ојачати поверење и активно укључивање грађана у Smart City развој.</w:t>
      </w:r>
    </w:p>
    <w:p w14:paraId="49441157">
      <w:pPr>
        <w:numPr>
          <w:ilvl w:val="0"/>
          <w:numId w:val="12"/>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Израдити План комуникације и учешћа грађана као обавезан пратећи документ Smart City плана.</w:t>
      </w:r>
    </w:p>
    <w:p w14:paraId="535A2174">
      <w:pPr>
        <w:numPr>
          <w:ilvl w:val="0"/>
          <w:numId w:val="12"/>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Размотрити увођење сталног дигиталног канала за двосмерну комуникацију (онлајн платформа или мобилна апликација).</w:t>
      </w:r>
    </w:p>
    <w:p w14:paraId="43C239BB">
      <w:pPr>
        <w:numPr>
          <w:ilvl w:val="0"/>
          <w:numId w:val="12"/>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Систематски укључивати грађане пре и током имплементације (консултације, анкете, пилот-тестирања), уз консултације са локалном ИТ заједницом.</w:t>
      </w:r>
    </w:p>
    <w:p w14:paraId="0D2D8591">
      <w:pPr>
        <w:numPr>
          <w:ilvl w:val="0"/>
          <w:numId w:val="12"/>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Редовно мерити задовољство и поверење корисника.</w:t>
      </w:r>
    </w:p>
    <w:p w14:paraId="2669BBDB">
      <w:pPr>
        <w:numPr>
          <w:ilvl w:val="0"/>
          <w:numId w:val="12"/>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Формализовати сарадњу са удружењима, ИТ сектором и младима кроз моделе учешћа.</w:t>
      </w:r>
    </w:p>
    <w:p w14:paraId="41589288">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8. Животна средина и квалитет живота (2027–2030)</w:t>
      </w:r>
    </w:p>
    <w:p w14:paraId="7DFA3A4D">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Јасно доказати еколошке и друштвене ефекте паметних улагања.</w:t>
      </w:r>
    </w:p>
    <w:p w14:paraId="039BA672">
      <w:pPr>
        <w:numPr>
          <w:ilvl w:val="0"/>
          <w:numId w:val="13"/>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Дефинисати јасне еколошке и друштвене циљеве повезане са паметним решењима (енергија, мобилност, јавни простор).</w:t>
      </w:r>
    </w:p>
    <w:p w14:paraId="054D0A4E">
      <w:pPr>
        <w:numPr>
          <w:ilvl w:val="0"/>
          <w:numId w:val="13"/>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Истражити и у дизајн решења укључити потребе угрожених категорија становништва.</w:t>
      </w:r>
    </w:p>
    <w:p w14:paraId="77911039">
      <w:pPr>
        <w:numPr>
          <w:ilvl w:val="0"/>
          <w:numId w:val="13"/>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Увести мерљиве показатеље за енергетску ефикасност, емисије, коришћење ресурса и квалитет живота.</w:t>
      </w:r>
    </w:p>
    <w:p w14:paraId="13285C43">
      <w:pPr>
        <w:numPr>
          <w:ilvl w:val="0"/>
          <w:numId w:val="13"/>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Интегрисати паметна решења како би се ефекти сагледавали кумулативно, а не секторски.</w:t>
      </w:r>
    </w:p>
    <w:p w14:paraId="0E682C11">
      <w:pPr>
        <w:numPr>
          <w:ilvl w:val="0"/>
          <w:numId w:val="13"/>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Повезати паметна решења са променом понашања грађана кроз информисање и подстицаје.</w:t>
      </w:r>
    </w:p>
    <w:p w14:paraId="4D6F44B8">
      <w:pPr>
        <w:numPr>
          <w:ilvl w:val="0"/>
          <w:numId w:val="13"/>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Укључити школе и „зелене“ иницијативе у промоцију и ко-дизајн решења.</w:t>
      </w:r>
    </w:p>
    <w:p w14:paraId="40AC17B1">
      <w:pPr>
        <w:tabs>
          <w:tab w:val="left" w:pos="1418"/>
        </w:tabs>
        <w:spacing w:after="0" w:line="240" w:lineRule="auto"/>
        <w:ind w:left="720"/>
        <w:rPr>
          <w:rFonts w:ascii="Times New Roman" w:hAnsi="Times New Roman" w:cs="Times New Roman"/>
          <w:color w:val="000000" w:themeColor="text1"/>
          <w:lang w:val="sr-Cyrl-RS"/>
          <w14:textFill>
            <w14:solidFill>
              <w14:schemeClr w14:val="tx1"/>
            </w14:solidFill>
          </w14:textFill>
        </w:rPr>
      </w:pPr>
    </w:p>
    <w:p w14:paraId="2515BAC4">
      <w:pPr>
        <w:tabs>
          <w:tab w:val="left" w:pos="1418"/>
        </w:tabs>
        <w:spacing w:after="0" w:line="240" w:lineRule="auto"/>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9. Праћење учинака и евалуација (од 2026)</w:t>
      </w:r>
    </w:p>
    <w:p w14:paraId="4DAAC665">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bCs/>
          <w:color w:val="000000" w:themeColor="text1"/>
          <w:lang w:val="sr-Cyrl-RS"/>
          <w14:textFill>
            <w14:solidFill>
              <w14:schemeClr w14:val="tx1"/>
            </w14:solidFill>
          </w14:textFill>
        </w:rPr>
        <w:t>Циљ:</w:t>
      </w:r>
      <w:r>
        <w:rPr>
          <w:rFonts w:ascii="Times New Roman" w:hAnsi="Times New Roman" w:cs="Times New Roman"/>
          <w:color w:val="000000" w:themeColor="text1"/>
          <w:lang w:val="sr-Cyrl-RS"/>
          <w14:textFill>
            <w14:solidFill>
              <w14:schemeClr w14:val="tx1"/>
            </w14:solidFill>
          </w14:textFill>
        </w:rPr>
        <w:t xml:space="preserve"> Увести управљање засновано на доказима као стандард.</w:t>
      </w:r>
    </w:p>
    <w:p w14:paraId="2B89FEB0">
      <w:pPr>
        <w:numPr>
          <w:ilvl w:val="0"/>
          <w:numId w:val="14"/>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Израдити комплетан оквир са показатељима за мерење учинака и ефеката, почетним подацима и јасном динамиком извештавања.</w:t>
      </w:r>
    </w:p>
    <w:p w14:paraId="67FC724A">
      <w:pPr>
        <w:numPr>
          <w:ilvl w:val="0"/>
          <w:numId w:val="14"/>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Дефинисати интерни акт о подацима и власништву над њима, са пуним приступом за ЈЛС и ЈКП.</w:t>
      </w:r>
    </w:p>
    <w:p w14:paraId="5AB95E3E">
      <w:pPr>
        <w:numPr>
          <w:ilvl w:val="0"/>
          <w:numId w:val="14"/>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Одредити јасне носиоце одговорности за праћење и евалуацију smart решења.</w:t>
      </w:r>
    </w:p>
    <w:p w14:paraId="146156CE">
      <w:pPr>
        <w:numPr>
          <w:ilvl w:val="0"/>
          <w:numId w:val="14"/>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Увести праксу почетних и периодичних евалуација (нпр. током трајања пројекта, годишње или на 2–3 године).</w:t>
      </w:r>
    </w:p>
    <w:p w14:paraId="754BCDFC">
      <w:pPr>
        <w:numPr>
          <w:ilvl w:val="0"/>
          <w:numId w:val="14"/>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Планирати буџетска средства за интерне и екстерне евалуације.</w:t>
      </w:r>
    </w:p>
    <w:p w14:paraId="782A42BE">
      <w:pPr>
        <w:numPr>
          <w:ilvl w:val="0"/>
          <w:numId w:val="14"/>
        </w:num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Размотрити могуће показатеље за повећање ефикасности управљања паркирањем, лакше проналажење слободних места, смањење саобраћајних гужви и емисија, као и транспарентност прихода, укључујући:</w:t>
      </w:r>
    </w:p>
    <w:p w14:paraId="084F5928">
      <w:pPr>
        <w:numPr>
          <w:ilvl w:val="1"/>
          <w:numId w:val="14"/>
        </w:numPr>
        <w:tabs>
          <w:tab w:val="left" w:pos="1418"/>
          <w:tab w:val="clear" w:pos="1440"/>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просечну попуњеност паркинг места (%),</w:t>
      </w:r>
    </w:p>
    <w:p w14:paraId="671BF6D2">
      <w:pPr>
        <w:numPr>
          <w:ilvl w:val="1"/>
          <w:numId w:val="14"/>
        </w:numPr>
        <w:tabs>
          <w:tab w:val="left" w:pos="1418"/>
          <w:tab w:val="clear" w:pos="1440"/>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приход по паркинг месту,</w:t>
      </w:r>
    </w:p>
    <w:p w14:paraId="36D8C555">
      <w:pPr>
        <w:numPr>
          <w:ilvl w:val="1"/>
          <w:numId w:val="14"/>
        </w:numPr>
        <w:tabs>
          <w:tab w:val="left" w:pos="1418"/>
          <w:tab w:val="clear" w:pos="1440"/>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ротацију возила,</w:t>
      </w:r>
    </w:p>
    <w:p w14:paraId="35172F10">
      <w:pPr>
        <w:numPr>
          <w:ilvl w:val="1"/>
          <w:numId w:val="14"/>
        </w:numPr>
        <w:tabs>
          <w:tab w:val="left" w:pos="1418"/>
          <w:tab w:val="clear" w:pos="1440"/>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оперативну доступност система,</w:t>
      </w:r>
    </w:p>
    <w:p w14:paraId="557542D7">
      <w:pPr>
        <w:numPr>
          <w:ilvl w:val="1"/>
          <w:numId w:val="14"/>
        </w:numPr>
        <w:tabs>
          <w:tab w:val="left" w:pos="1418"/>
          <w:tab w:val="clear" w:pos="1440"/>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корисничко задовољство,</w:t>
      </w:r>
    </w:p>
    <w:p w14:paraId="0E921DA2">
      <w:pPr>
        <w:numPr>
          <w:ilvl w:val="1"/>
          <w:numId w:val="14"/>
        </w:numPr>
        <w:tabs>
          <w:tab w:val="left" w:pos="1418"/>
          <w:tab w:val="clear" w:pos="1440"/>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трошкове одржавања система.</w:t>
      </w:r>
    </w:p>
    <w:p w14:paraId="16877611">
      <w:pPr>
        <w:tabs>
          <w:tab w:val="left" w:pos="1418"/>
        </w:tabs>
        <w:spacing w:after="0" w:line="240" w:lineRule="auto"/>
        <w:rPr>
          <w:rFonts w:ascii="Times New Roman" w:hAnsi="Times New Roman" w:cs="Times New Roman"/>
          <w:bCs/>
          <w:color w:val="000000" w:themeColor="text1"/>
          <w:lang w:val="sr-Cyrl-RS"/>
          <w14:textFill>
            <w14:solidFill>
              <w14:schemeClr w14:val="tx1"/>
            </w14:solidFill>
          </w14:textFill>
        </w:rPr>
      </w:pPr>
    </w:p>
    <w:p w14:paraId="65C93613">
      <w:pPr>
        <w:tabs>
          <w:tab w:val="left" w:pos="1418"/>
        </w:tabs>
        <w:spacing w:after="0" w:line="240" w:lineRule="auto"/>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Град Пирот у периоду 2026–2030 треба да пређе из фазе „оперативно напредног“ у фазу „управљачки зрелог“ паметног града. Фокус није на новим технологијама, већ на интеграцији, аналитици, мерењу учинака и укључивању грађана.</w:t>
      </w:r>
    </w:p>
    <w:p w14:paraId="732C772D">
      <w:pPr>
        <w:tabs>
          <w:tab w:val="left" w:pos="1418"/>
        </w:tabs>
        <w:rPr>
          <w:rFonts w:ascii="Times New Roman" w:hAnsi="Times New Roman" w:cs="Times New Roman"/>
          <w:color w:val="000000" w:themeColor="text1"/>
          <w:lang w:val="sr-Cyrl-RS"/>
          <w14:textFill>
            <w14:solidFill>
              <w14:schemeClr w14:val="tx1"/>
            </w14:solidFill>
          </w14:textFill>
        </w:rPr>
      </w:pPr>
    </w:p>
    <w:p w14:paraId="0BE4F85B">
      <w:pPr>
        <w:pStyle w:val="3"/>
        <w:tabs>
          <w:tab w:val="left" w:pos="1418"/>
        </w:tabs>
        <w:rPr>
          <w:color w:val="000000" w:themeColor="text1"/>
          <w:lang w:val="sr-Cyrl-RS"/>
          <w14:textFill>
            <w14:solidFill>
              <w14:schemeClr w14:val="tx1"/>
            </w14:solidFill>
          </w14:textFill>
        </w:rPr>
      </w:pPr>
      <w:bookmarkStart w:id="13" w:name="_Toc229061118"/>
      <w:r>
        <w:rPr>
          <w:color w:val="000000" w:themeColor="text1"/>
          <w:lang w:val="sr-Cyrl-RS"/>
          <w14:textFill>
            <w14:solidFill>
              <w14:schemeClr w14:val="tx1"/>
            </w14:solidFill>
          </w14:textFill>
        </w:rPr>
        <w:t>1.11 SWOT анализа – снаге, слабости, могућности и претње за развој паметног града и дигиталну трансформацију</w:t>
      </w:r>
      <w:bookmarkEnd w:id="13"/>
    </w:p>
    <w:p w14:paraId="6A186A09">
      <w:pPr>
        <w:rPr>
          <w:color w:val="000000" w:themeColor="text1"/>
          <w:lang w:val="sr-Cyrl-RS"/>
          <w14:textFill>
            <w14:solidFill>
              <w14:schemeClr w14:val="tx1"/>
            </w14:solidFill>
          </w14:textFill>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4508"/>
      </w:tblGrid>
      <w:tr w14:paraId="400AA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shd w:val="clear" w:color="auto" w:fill="FAE2D5" w:themeFill="accent2" w:themeFillTint="33"/>
          </w:tcPr>
          <w:p w14:paraId="45A8D733">
            <w:pPr>
              <w:spacing w:after="0" w:line="240" w:lineRule="auto"/>
              <w:jc w:val="center"/>
              <w:rPr>
                <w:color w:val="000000" w:themeColor="text1"/>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СНАГЕ</w:t>
            </w:r>
          </w:p>
        </w:tc>
        <w:tc>
          <w:tcPr>
            <w:tcW w:w="4508" w:type="dxa"/>
            <w:shd w:val="clear" w:color="auto" w:fill="FAE2D5" w:themeFill="accent2" w:themeFillTint="33"/>
          </w:tcPr>
          <w:p w14:paraId="7954A9FF">
            <w:pPr>
              <w:spacing w:after="0" w:line="240" w:lineRule="auto"/>
              <w:jc w:val="center"/>
              <w:rPr>
                <w:color w:val="000000" w:themeColor="text1"/>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СЛАБОСТИ</w:t>
            </w:r>
          </w:p>
        </w:tc>
      </w:tr>
      <w:tr w14:paraId="5EBB4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Pr>
          <w:p w14:paraId="72AD3167">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Добра покривеност градског и приградског подручја мрежама мобилне и фиксне телефоније, интернетом и кабловском мрежом </w:t>
            </w:r>
          </w:p>
          <w:p w14:paraId="794D3772">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eastAsia="Google Sans Text" w:cs="Times New Roman"/>
                <w:bCs/>
                <w:color w:val="000000" w:themeColor="text1"/>
                <w:sz w:val="22"/>
                <w:szCs w:val="22"/>
                <w:lang w:val="sr-Cyrl-RS"/>
                <w14:textFill>
                  <w14:solidFill>
                    <w14:schemeClr w14:val="tx1"/>
                  </w14:solidFill>
                </w14:textFill>
              </w:rPr>
              <w:t>Постојећа паметна решења</w:t>
            </w:r>
            <w:r>
              <w:rPr>
                <w:rFonts w:ascii="Times New Roman" w:hAnsi="Times New Roman" w:eastAsia="Google Sans Text" w:cs="Times New Roman"/>
                <w:b/>
                <w:bCs/>
                <w:color w:val="000000" w:themeColor="text1"/>
                <w:sz w:val="22"/>
                <w:szCs w:val="22"/>
                <w:lang w:val="sr-Cyrl-RS"/>
                <w14:textFill>
                  <w14:solidFill>
                    <w14:schemeClr w14:val="tx1"/>
                  </w14:solidFill>
                </w14:textFill>
              </w:rPr>
              <w:t xml:space="preserve"> -</w:t>
            </w:r>
            <w:r>
              <w:rPr>
                <w:rFonts w:ascii="Times New Roman" w:hAnsi="Times New Roman" w:eastAsia="Google Sans Text" w:cs="Times New Roman"/>
                <w:color w:val="000000" w:themeColor="text1"/>
                <w:sz w:val="22"/>
                <w:szCs w:val="22"/>
                <w:lang w:val="sr-Cyrl-RS"/>
                <w14:textFill>
                  <w14:solidFill>
                    <w14:schemeClr w14:val="tx1"/>
                  </w14:solidFill>
                </w14:textFill>
              </w:rPr>
              <w:t xml:space="preserve"> Успешна имплементација и коришћење SCADA система у водоснабдевању, паметног паркинга (СМС наплата)</w:t>
            </w:r>
          </w:p>
          <w:p w14:paraId="22551A82">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Градска управа користи све софтвере и програме које су донирала надлежна републичка министарства – матичне књиге, ЛПА, ЦЕОП, дечији додатак, борачко-инвалидска заштита, итд. </w:t>
            </w:r>
          </w:p>
          <w:p w14:paraId="35E6BE13">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Градска управа користи и софтвере које је сама развила/купила – писарница (вођење предмета и праћење тока предмета), УЉР... </w:t>
            </w:r>
          </w:p>
          <w:p w14:paraId="7016B85D">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Град је успоставио и користи ГИС - http://gis.pirot.rs/ </w:t>
            </w:r>
          </w:p>
          <w:p w14:paraId="32ABC358">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Дигитализовани водови – вода, канализација, топловод, електро водови, оптички и комуникациони водови </w:t>
            </w:r>
          </w:p>
          <w:p w14:paraId="0271CEA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Извршена промена кућних адреса у сарадњи са РГЗ </w:t>
            </w:r>
          </w:p>
          <w:p w14:paraId="6312962B">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eastAsia="Google Sans Text" w:cs="Times New Roman"/>
                <w:color w:val="000000" w:themeColor="text1"/>
                <w:sz w:val="22"/>
                <w:szCs w:val="22"/>
                <w:lang w:val="sr-Cyrl-RS"/>
                <w14:textFill>
                  <w14:solidFill>
                    <w14:schemeClr w14:val="tx1"/>
                  </w14:solidFill>
                </w14:textFill>
              </w:rPr>
              <w:t>Висока свест и спремност руководилаца у ЈКП за примену нових технологија (нпр. у водоводу и паркинг сервису).</w:t>
            </w:r>
          </w:p>
          <w:p w14:paraId="5B17C8DD">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Градска управа и јавна предузећа су умрежени (wi-fi) </w:t>
            </w:r>
          </w:p>
          <w:p w14:paraId="3A819D94">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Добра покривеност целе територије града просторно планском документацијом (ПП, ПГР, ПДР) </w:t>
            </w:r>
          </w:p>
          <w:p w14:paraId="198701B2">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Донет је нови просторни план града 2021-2035. </w:t>
            </w:r>
          </w:p>
          <w:p w14:paraId="6B58D5B7">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Одличан проценат наплативости комуналних услуга </w:t>
            </w:r>
          </w:p>
          <w:p w14:paraId="4A0BB555">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Израђена пројектна документација за санацију и рекултивацију несанитарне депоније и добијена сагласност Министарства заштите животне средине </w:t>
            </w:r>
          </w:p>
          <w:p w14:paraId="3E384E6D">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Постоји систем даљинског грејања у самом граду, којим управља ЈКП „Градска топлана” Пирот </w:t>
            </w:r>
          </w:p>
          <w:p w14:paraId="11258F8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Изузетно квалитетан рад паркинг сервиса</w:t>
            </w:r>
          </w:p>
          <w:p w14:paraId="6900F9E6">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Велики број комуналних система који пружају задовољавајући степен услуга својим корисницима – водовод, канализација, топловод, јавна хигијена, итд. </w:t>
            </w:r>
          </w:p>
          <w:p w14:paraId="657FD90D">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Израђен је локални регистар извора загађивача и извештаји се сваке године објављују на сајту Града </w:t>
            </w:r>
          </w:p>
          <w:p w14:paraId="74B6A229">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Израђен катастар дивљих депонија </w:t>
            </w:r>
          </w:p>
          <w:p w14:paraId="1D77E1F4">
            <w:pPr>
              <w:spacing w:after="0" w:line="240" w:lineRule="auto"/>
              <w:rPr>
                <w:color w:val="000000" w:themeColor="text1"/>
                <w:lang w:val="sr-Cyrl-RS"/>
                <w14:textFill>
                  <w14:solidFill>
                    <w14:schemeClr w14:val="tx1"/>
                  </w14:solidFill>
                </w14:textFill>
              </w:rPr>
            </w:pPr>
          </w:p>
        </w:tc>
        <w:tc>
          <w:tcPr>
            <w:tcW w:w="4508" w:type="dxa"/>
          </w:tcPr>
          <w:p w14:paraId="1B240637">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Не врши се редовно ажурирање интернет презентације града (вести, одлуке, документа, итд.) </w:t>
            </w:r>
          </w:p>
          <w:p w14:paraId="500F24C7">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Не врши се редовно ажурирање базе података дигиталних водова од 2013. године Недостатак интерног акта о управљању подацима; подаци се не чувају у машински читљивим форматима и Портал отворених података није ажуриран од 2021. године.</w:t>
            </w:r>
          </w:p>
          <w:p w14:paraId="7002B3F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Незадовољавајућа опремљеност ИТ опремом у градској управи, јавним предузећима и установама </w:t>
            </w:r>
          </w:p>
          <w:p w14:paraId="32BFFEFA">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Локална јавна предузећа немају ажурну базу корисника </w:t>
            </w:r>
          </w:p>
          <w:p w14:paraId="0AA57F49">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ГИС није у потпуности ажуран </w:t>
            </w:r>
          </w:p>
          <w:p w14:paraId="0A10CB6B">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ГИС систем се недовољно користи </w:t>
            </w:r>
          </w:p>
          <w:p w14:paraId="41588EA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Не постоје планови за размену информација и интегрисану управу између градске управе, јавних предузећа и установа </w:t>
            </w:r>
          </w:p>
          <w:p w14:paraId="7D6675A2">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Постоји систем за пријаву комуналних проблема у ГИС-у (www.gis.pirot.rs) и моблина апликација, али се не користи </w:t>
            </w:r>
          </w:p>
          <w:p w14:paraId="5EBBD28B">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Мали број пројеката и иницијатива за јавно приватна партнерства </w:t>
            </w:r>
          </w:p>
          <w:p w14:paraId="668900BA">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Део запослених у градској управи, јавним предузећима и установама не поседују довољно капацитета </w:t>
            </w:r>
          </w:p>
          <w:p w14:paraId="30EDBE6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Материјал за седнице скупштине града се припрема у штампаном облику, није извршена дигитализација рада Скупштине града </w:t>
            </w:r>
          </w:p>
          <w:p w14:paraId="2BAF5A27">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Не постоји инфраструктура за дигиталне (оптичке) водове </w:t>
            </w:r>
          </w:p>
          <w:p w14:paraId="01225BF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Стручни капацитети радника у градској управи се не користе у потпуности </w:t>
            </w:r>
          </w:p>
          <w:p w14:paraId="1E2FE03D">
            <w:pPr>
              <w:pStyle w:val="47"/>
              <w:ind w:left="369" w:hanging="284"/>
              <w:rPr>
                <w:rFonts w:ascii="Times New Roman" w:hAnsi="Times New Roman" w:cs="Times New Roman"/>
                <w:color w:val="000000" w:themeColor="text1"/>
                <w:sz w:val="22"/>
                <w:szCs w:val="22"/>
                <w:lang w:val="sr-Cyrl-RS"/>
                <w14:textFill>
                  <w14:solidFill>
                    <w14:schemeClr w14:val="tx1"/>
                  </w14:solidFill>
                </w14:textFill>
              </w:rPr>
            </w:pPr>
          </w:p>
          <w:p w14:paraId="2DBA4A25">
            <w:pPr>
              <w:spacing w:after="0" w:line="240" w:lineRule="auto"/>
              <w:rPr>
                <w:color w:val="000000" w:themeColor="text1"/>
                <w:lang w:val="sr-Cyrl-RS"/>
                <w14:textFill>
                  <w14:solidFill>
                    <w14:schemeClr w14:val="tx1"/>
                  </w14:solidFill>
                </w14:textFill>
              </w:rPr>
            </w:pPr>
          </w:p>
        </w:tc>
      </w:tr>
      <w:tr w14:paraId="0F0EC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shd w:val="clear" w:color="auto" w:fill="FAE2D5" w:themeFill="accent2" w:themeFillTint="33"/>
          </w:tcPr>
          <w:p w14:paraId="5163F9FF">
            <w:pPr>
              <w:pStyle w:val="47"/>
              <w:jc w:val="center"/>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МОГУЋНОСТИ</w:t>
            </w:r>
          </w:p>
        </w:tc>
        <w:tc>
          <w:tcPr>
            <w:tcW w:w="4508" w:type="dxa"/>
            <w:shd w:val="clear" w:color="auto" w:fill="FAE2D5" w:themeFill="accent2" w:themeFillTint="33"/>
          </w:tcPr>
          <w:p w14:paraId="037A8A0D">
            <w:pPr>
              <w:pStyle w:val="47"/>
              <w:jc w:val="center"/>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b/>
                <w:bCs/>
                <w:color w:val="000000" w:themeColor="text1"/>
                <w:sz w:val="22"/>
                <w:szCs w:val="22"/>
                <w:lang w:val="sr-Cyrl-RS"/>
                <w14:textFill>
                  <w14:solidFill>
                    <w14:schemeClr w14:val="tx1"/>
                  </w14:solidFill>
                </w14:textFill>
              </w:rPr>
              <w:t>ПРЕТЊЕ</w:t>
            </w:r>
          </w:p>
        </w:tc>
      </w:tr>
      <w:tr w14:paraId="57398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Pr>
          <w:p w14:paraId="445FA6FE">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Наставак развоја Е-управе  </w:t>
            </w:r>
          </w:p>
          <w:p w14:paraId="2496435B">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Јавно-приватна партнерства </w:t>
            </w:r>
          </w:p>
          <w:p w14:paraId="33A2AECF">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Оријентисаност државе ка реформама и дигиталној трансформацији</w:t>
            </w:r>
          </w:p>
          <w:p w14:paraId="0319103F">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Коришћење доступних фондова за пројекте дигиталне инфраструктуре и за едукацију људских ресурса</w:t>
            </w:r>
          </w:p>
          <w:p w14:paraId="7390FA94">
            <w:pPr>
              <w:numPr>
                <w:ilvl w:val="0"/>
                <w:numId w:val="15"/>
              </w:numPr>
              <w:pBdr>
                <w:top w:val="none" w:color="auto" w:sz="0" w:space="0"/>
                <w:left w:val="none" w:color="auto" w:sz="0" w:space="0"/>
                <w:bottom w:val="none" w:color="auto" w:sz="0" w:space="0"/>
                <w:right w:val="none" w:color="auto" w:sz="0" w:space="0"/>
                <w:between w:val="none" w:color="auto" w:sz="0" w:space="0"/>
              </w:pBdr>
              <w:spacing w:after="0" w:line="20" w:lineRule="atLeast"/>
              <w:ind w:left="369" w:hanging="284"/>
              <w:rPr>
                <w:rFonts w:ascii="Times New Roman" w:hAnsi="Times New Roman" w:cs="Times New Roman"/>
                <w:color w:val="000000" w:themeColor="text1"/>
                <w:kern w:val="0"/>
                <w:sz w:val="22"/>
                <w:szCs w:val="22"/>
                <w:lang w:val="sr-Cyrl-RS"/>
                <w14:textFill>
                  <w14:solidFill>
                    <w14:schemeClr w14:val="tx1"/>
                  </w14:solidFill>
                </w14:textFill>
              </w:rPr>
            </w:pPr>
            <w:r>
              <w:rPr>
                <w:rFonts w:ascii="Times New Roman" w:hAnsi="Times New Roman" w:cs="Times New Roman"/>
                <w:color w:val="000000" w:themeColor="text1"/>
                <w:kern w:val="0"/>
                <w:sz w:val="22"/>
                <w:szCs w:val="22"/>
                <w:lang w:val="sr-Cyrl-RS"/>
                <w14:textFill>
                  <w14:solidFill>
                    <w14:schemeClr w14:val="tx1"/>
                  </w14:solidFill>
                </w14:textFill>
              </w:rPr>
              <w:t xml:space="preserve">Интеграција smart решења кроз јединствену платформу: </w:t>
            </w:r>
          </w:p>
          <w:p w14:paraId="1BE9FABA">
            <w:pPr>
              <w:numPr>
                <w:ilvl w:val="0"/>
                <w:numId w:val="15"/>
              </w:numPr>
              <w:pBdr>
                <w:top w:val="none" w:color="auto" w:sz="0" w:space="0"/>
                <w:left w:val="none" w:color="auto" w:sz="0" w:space="0"/>
                <w:bottom w:val="none" w:color="auto" w:sz="0" w:space="0"/>
                <w:right w:val="none" w:color="auto" w:sz="0" w:space="0"/>
                <w:between w:val="none" w:color="auto" w:sz="0" w:space="0"/>
              </w:pBdr>
              <w:spacing w:after="0" w:line="20" w:lineRule="atLeast"/>
              <w:ind w:left="369" w:hanging="284"/>
              <w:rPr>
                <w:rFonts w:ascii="Times New Roman" w:hAnsi="Times New Roman" w:cs="Times New Roman"/>
                <w:color w:val="000000" w:themeColor="text1"/>
                <w:kern w:val="0"/>
                <w:sz w:val="22"/>
                <w:szCs w:val="22"/>
                <w:lang w:val="sr-Cyrl-RS"/>
                <w14:textFill>
                  <w14:solidFill>
                    <w14:schemeClr w14:val="tx1"/>
                  </w14:solidFill>
                </w14:textFill>
              </w:rPr>
            </w:pPr>
            <w:r>
              <w:rPr>
                <w:rFonts w:ascii="Times New Roman" w:hAnsi="Times New Roman" w:cs="Times New Roman"/>
                <w:color w:val="000000" w:themeColor="text1"/>
                <w:kern w:val="0"/>
                <w:sz w:val="22"/>
                <w:szCs w:val="22"/>
                <w:lang w:val="sr-Cyrl-RS"/>
                <w14:textFill>
                  <w14:solidFill>
                    <w14:schemeClr w14:val="tx1"/>
                  </w14:solidFill>
                </w14:textFill>
              </w:rPr>
              <w:t>• Јавно-приватно партнерство ((попут ESCO модела или концесија) за финансирање нових smart решења.</w:t>
            </w:r>
          </w:p>
          <w:p w14:paraId="7A447ED1">
            <w:pPr>
              <w:numPr>
                <w:ilvl w:val="0"/>
                <w:numId w:val="15"/>
              </w:numPr>
              <w:pBdr>
                <w:top w:val="none" w:color="auto" w:sz="0" w:space="0"/>
                <w:left w:val="none" w:color="auto" w:sz="0" w:space="0"/>
                <w:bottom w:val="none" w:color="auto" w:sz="0" w:space="0"/>
                <w:right w:val="none" w:color="auto" w:sz="0" w:space="0"/>
                <w:between w:val="none" w:color="auto" w:sz="0" w:space="0"/>
              </w:pBdr>
              <w:spacing w:after="0" w:line="20" w:lineRule="atLeast"/>
              <w:ind w:left="369" w:hanging="284"/>
              <w:rPr>
                <w:rFonts w:ascii="Times New Roman" w:hAnsi="Times New Roman" w:cs="Times New Roman"/>
                <w:color w:val="000000" w:themeColor="text1"/>
                <w:kern w:val="0"/>
                <w:sz w:val="22"/>
                <w:szCs w:val="22"/>
                <w:lang w:val="sr-Cyrl-RS"/>
                <w14:textFill>
                  <w14:solidFill>
                    <w14:schemeClr w14:val="tx1"/>
                  </w14:solidFill>
                </w14:textFill>
              </w:rPr>
            </w:pPr>
            <w:r>
              <w:rPr>
                <w:rFonts w:ascii="Times New Roman" w:hAnsi="Times New Roman" w:cs="Times New Roman"/>
                <w:color w:val="000000" w:themeColor="text1"/>
                <w:kern w:val="0"/>
                <w:sz w:val="22"/>
                <w:szCs w:val="22"/>
                <w:lang w:val="sr-Cyrl-RS"/>
                <w14:textFill>
                  <w14:solidFill>
                    <w14:schemeClr w14:val="tx1"/>
                  </w14:solidFill>
                </w14:textFill>
              </w:rPr>
              <w:t>Доступност фондова ЕУ и државе за пројекте „Зелене агенде“ и паметних градова.</w:t>
            </w:r>
          </w:p>
          <w:p w14:paraId="30C2228B">
            <w:pPr>
              <w:pStyle w:val="47"/>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Коришћење технологије за прецизно мерење параметара (квалитет ваздуха, бука) ради очувања статуса бањског места.</w:t>
            </w:r>
          </w:p>
        </w:tc>
        <w:tc>
          <w:tcPr>
            <w:tcW w:w="4508" w:type="dxa"/>
          </w:tcPr>
          <w:p w14:paraId="22B409D6">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Одлив образовног кадра у веће средине (Београд, Ниш) и у иностранство </w:t>
            </w:r>
          </w:p>
          <w:p w14:paraId="6FEA1A53">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 xml:space="preserve">Недовољна трансферна средства за пренете надлежности – здравство, образовање, социјална заштита, итд. </w:t>
            </w:r>
          </w:p>
          <w:p w14:paraId="0300DC37">
            <w:pPr>
              <w:numPr>
                <w:ilvl w:val="0"/>
                <w:numId w:val="15"/>
              </w:numPr>
              <w:pBdr>
                <w:top w:val="none" w:color="auto" w:sz="0" w:space="0"/>
                <w:left w:val="none" w:color="auto" w:sz="0" w:space="0"/>
                <w:bottom w:val="none" w:color="auto" w:sz="0" w:space="0"/>
                <w:right w:val="none" w:color="auto" w:sz="0" w:space="0"/>
                <w:between w:val="none" w:color="auto" w:sz="0" w:space="0"/>
              </w:pBdr>
              <w:spacing w:after="0" w:line="20" w:lineRule="atLeast"/>
              <w:ind w:left="369" w:hanging="284"/>
              <w:rPr>
                <w:rFonts w:ascii="Times New Roman" w:hAnsi="Times New Roman" w:cs="Times New Roman"/>
                <w:color w:val="000000" w:themeColor="text1"/>
                <w:kern w:val="0"/>
                <w:sz w:val="22"/>
                <w:szCs w:val="22"/>
                <w:lang w:val="sr-Cyrl-RS"/>
                <w14:textFill>
                  <w14:solidFill>
                    <w14:schemeClr w14:val="tx1"/>
                  </w14:solidFill>
                </w14:textFill>
              </w:rPr>
            </w:pPr>
            <w:r>
              <w:rPr>
                <w:rFonts w:ascii="Times New Roman" w:hAnsi="Times New Roman" w:cs="Times New Roman"/>
                <w:color w:val="000000" w:themeColor="text1"/>
                <w:kern w:val="0"/>
                <w:sz w:val="22"/>
                <w:szCs w:val="22"/>
                <w:lang w:val="sr-Cyrl-RS"/>
                <w14:textFill>
                  <w14:solidFill>
                    <w14:schemeClr w14:val="tx1"/>
                  </w14:solidFill>
                </w14:textFill>
              </w:rPr>
              <w:t>• Отежано проналажење и задржавање стручног ИТ кадра у локалној управи због конкуренције приватног сектора.</w:t>
            </w:r>
          </w:p>
          <w:p w14:paraId="530CD969">
            <w:pPr>
              <w:numPr>
                <w:ilvl w:val="0"/>
                <w:numId w:val="15"/>
              </w:numPr>
              <w:pBdr>
                <w:top w:val="none" w:color="auto" w:sz="0" w:space="0"/>
                <w:left w:val="none" w:color="auto" w:sz="0" w:space="0"/>
                <w:bottom w:val="none" w:color="auto" w:sz="0" w:space="0"/>
                <w:right w:val="none" w:color="auto" w:sz="0" w:space="0"/>
                <w:between w:val="none" w:color="auto" w:sz="0" w:space="0"/>
              </w:pBdr>
              <w:spacing w:after="0" w:line="20" w:lineRule="atLeast"/>
              <w:ind w:left="369" w:hanging="284"/>
              <w:rPr>
                <w:rFonts w:ascii="Times New Roman" w:hAnsi="Times New Roman" w:cs="Times New Roman"/>
                <w:color w:val="000000" w:themeColor="text1"/>
                <w:kern w:val="0"/>
                <w:sz w:val="22"/>
                <w:szCs w:val="22"/>
                <w:lang w:val="sr-Cyrl-RS"/>
                <w14:textFill>
                  <w14:solidFill>
                    <w14:schemeClr w14:val="tx1"/>
                  </w14:solidFill>
                </w14:textFill>
              </w:rPr>
            </w:pPr>
            <w:r>
              <w:rPr>
                <w:rFonts w:ascii="Times New Roman" w:hAnsi="Times New Roman" w:cs="Times New Roman"/>
                <w:color w:val="000000" w:themeColor="text1"/>
                <w:kern w:val="0"/>
                <w:sz w:val="22"/>
                <w:szCs w:val="22"/>
                <w:lang w:val="sr-Cyrl-RS"/>
                <w14:textFill>
                  <w14:solidFill>
                    <w14:schemeClr w14:val="tx1"/>
                  </w14:solidFill>
                </w14:textFill>
              </w:rPr>
              <w:t>• Ризик да се системи неће одржавати ако се не планирају трошкови укупног животног циклуса (одржавање, лиценце, замена опреме), већ само иницијална инвестиција.</w:t>
            </w:r>
          </w:p>
          <w:p w14:paraId="2EFD6A2A">
            <w:pPr>
              <w:numPr>
                <w:ilvl w:val="0"/>
                <w:numId w:val="15"/>
              </w:numPr>
              <w:pBdr>
                <w:top w:val="none" w:color="auto" w:sz="0" w:space="0"/>
                <w:left w:val="none" w:color="auto" w:sz="0" w:space="0"/>
                <w:bottom w:val="none" w:color="auto" w:sz="0" w:space="0"/>
                <w:right w:val="none" w:color="auto" w:sz="0" w:space="0"/>
                <w:between w:val="none" w:color="auto" w:sz="0" w:space="0"/>
              </w:pBdr>
              <w:spacing w:after="0" w:line="20" w:lineRule="atLeast"/>
              <w:ind w:left="369" w:hanging="284"/>
              <w:rPr>
                <w:rFonts w:ascii="Times New Roman" w:hAnsi="Times New Roman" w:cs="Times New Roman"/>
                <w:color w:val="000000" w:themeColor="text1"/>
                <w:kern w:val="0"/>
                <w:sz w:val="22"/>
                <w:szCs w:val="22"/>
                <w:lang w:val="sr-Cyrl-RS"/>
                <w14:textFill>
                  <w14:solidFill>
                    <w14:schemeClr w14:val="tx1"/>
                  </w14:solidFill>
                </w14:textFill>
              </w:rPr>
            </w:pPr>
            <w:r>
              <w:rPr>
                <w:rFonts w:ascii="Times New Roman" w:hAnsi="Times New Roman" w:cs="Times New Roman"/>
                <w:color w:val="000000" w:themeColor="text1"/>
                <w:kern w:val="0"/>
                <w:sz w:val="22"/>
                <w:szCs w:val="22"/>
                <w:lang w:val="sr-Cyrl-RS"/>
                <w14:textFill>
                  <w14:solidFill>
                    <w14:schemeClr w14:val="tx1"/>
                  </w14:solidFill>
                </w14:textFill>
              </w:rPr>
              <w:t>Ризик да старије становништво и мештани руралних делова општине неће моћи да користе дигитализоване услуге.</w:t>
            </w:r>
          </w:p>
          <w:p w14:paraId="4ADE8FA5">
            <w:pPr>
              <w:pStyle w:val="47"/>
              <w:numPr>
                <w:ilvl w:val="0"/>
                <w:numId w:val="15"/>
              </w:numPr>
              <w:ind w:left="369" w:hanging="284"/>
              <w:rPr>
                <w:rFonts w:ascii="Times New Roman" w:hAnsi="Times New Roman" w:cs="Times New Roman"/>
                <w:color w:val="000000" w:themeColor="text1"/>
                <w:sz w:val="22"/>
                <w:szCs w:val="22"/>
                <w:lang w:val="sr-Cyrl-RS"/>
                <w14:textFill>
                  <w14:solidFill>
                    <w14:schemeClr w14:val="tx1"/>
                  </w14:solidFill>
                </w14:textFill>
              </w:rPr>
            </w:pPr>
            <w:r>
              <w:rPr>
                <w:rFonts w:ascii="Times New Roman" w:hAnsi="Times New Roman" w:cs="Times New Roman"/>
                <w:color w:val="000000" w:themeColor="text1"/>
                <w:sz w:val="22"/>
                <w:szCs w:val="22"/>
                <w:lang w:val="sr-Cyrl-RS"/>
                <w14:textFill>
                  <w14:solidFill>
                    <w14:schemeClr w14:val="tx1"/>
                  </w14:solidFill>
                </w14:textFill>
              </w:rPr>
              <w:t>Повећан ризик од сајбер напада на критичну инфраструктуру (нпр. SCADA систем водовода) како се ниво дигитализације повећава.</w:t>
            </w:r>
          </w:p>
        </w:tc>
      </w:tr>
    </w:tbl>
    <w:p w14:paraId="5492BCB9">
      <w:pPr>
        <w:pStyle w:val="2"/>
        <w:numPr>
          <w:ilvl w:val="0"/>
          <w:numId w:val="4"/>
        </w:numPr>
        <w:tabs>
          <w:tab w:val="left" w:pos="1418"/>
        </w:tabs>
        <w:rPr>
          <w:color w:val="000000" w:themeColor="text1"/>
          <w:lang w:val="sr-Cyrl-RS"/>
          <w14:textFill>
            <w14:solidFill>
              <w14:schemeClr w14:val="tx1"/>
            </w14:solidFill>
          </w14:textFill>
        </w:rPr>
      </w:pPr>
      <w:bookmarkStart w:id="14" w:name="_Toc229061119"/>
      <w:r>
        <w:rPr>
          <w:color w:val="000000" w:themeColor="text1"/>
          <w:lang w:val="sr-Cyrl-RS"/>
          <w14:textFill>
            <w14:solidFill>
              <w14:schemeClr w14:val="tx1"/>
            </w14:solidFill>
          </w14:textFill>
        </w:rPr>
        <w:t>Визија, мисија и приоритени циљеви дигиталне трансформације и развоја паметног града</w:t>
      </w:r>
      <w:bookmarkEnd w:id="14"/>
    </w:p>
    <w:p w14:paraId="1C5EF7A0">
      <w:pPr>
        <w:pStyle w:val="39"/>
        <w:spacing w:after="0" w:line="240" w:lineRule="auto"/>
        <w:rPr>
          <w:color w:val="000000" w:themeColor="text1"/>
          <w:sz w:val="20"/>
          <w:szCs w:val="20"/>
          <w:lang w:val="sr-Cyrl-RS"/>
          <w14:textFill>
            <w14:solidFill>
              <w14:schemeClr w14:val="tx1"/>
            </w14:solidFill>
          </w14:textFill>
        </w:rPr>
      </w:pPr>
    </w:p>
    <w:p w14:paraId="024E769E">
      <w:pPr>
        <w:pStyle w:val="3"/>
        <w:tabs>
          <w:tab w:val="left" w:pos="1418"/>
        </w:tabs>
        <w:rPr>
          <w:color w:val="000000" w:themeColor="text1"/>
          <w:lang w:val="sr-Cyrl-RS"/>
          <w14:textFill>
            <w14:solidFill>
              <w14:schemeClr w14:val="tx1"/>
            </w14:solidFill>
          </w14:textFill>
        </w:rPr>
      </w:pPr>
      <w:bookmarkStart w:id="15" w:name="_Toc229061120"/>
      <w:r>
        <w:rPr>
          <w:color w:val="000000" w:themeColor="text1"/>
          <w:lang w:val="sr-Cyrl-RS"/>
          <w14:textFill>
            <w14:solidFill>
              <w14:schemeClr w14:val="tx1"/>
            </w14:solidFill>
          </w14:textFill>
        </w:rPr>
        <w:t>2.1 Визија</w:t>
      </w:r>
      <w:bookmarkEnd w:id="15"/>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22F3B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shd w:val="clear" w:color="auto" w:fill="FAE2D5" w:themeFill="accent2" w:themeFillTint="33"/>
          </w:tcPr>
          <w:p w14:paraId="6180DA44">
            <w:pPr>
              <w:spacing w:after="0" w:line="240" w:lineRule="auto"/>
              <w:jc w:val="both"/>
              <w:rPr>
                <w:rFonts w:ascii="Times New Roman" w:hAnsi="Times New Roman" w:cs="Times New Roman"/>
                <w:b/>
                <w:bCs/>
                <w:color w:val="000000" w:themeColor="text1"/>
                <w:lang w:val="sr-Cyrl-RS"/>
                <w14:textFill>
                  <w14:solidFill>
                    <w14:schemeClr w14:val="tx1"/>
                  </w14:solidFill>
                </w14:textFill>
              </w:rPr>
            </w:pPr>
          </w:p>
          <w:p w14:paraId="4B4581C1">
            <w:pPr>
              <w:spacing w:after="0" w:line="240" w:lineRule="auto"/>
              <w:jc w:val="both"/>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Пирот је паметна локалнa заједница која иде у сусрет својим грађанима и пружа једнаке могућности за све.</w:t>
            </w:r>
          </w:p>
          <w:p w14:paraId="17293570">
            <w:pPr>
              <w:spacing w:after="0" w:line="240" w:lineRule="auto"/>
              <w:jc w:val="both"/>
              <w:rPr>
                <w:rFonts w:ascii="Times New Roman" w:hAnsi="Times New Roman" w:cs="Times New Roman"/>
                <w:b/>
                <w:bCs/>
                <w:color w:val="000000" w:themeColor="text1"/>
                <w:lang w:val="sr-Cyrl-RS"/>
                <w14:textFill>
                  <w14:solidFill>
                    <w14:schemeClr w14:val="tx1"/>
                  </w14:solidFill>
                </w14:textFill>
              </w:rPr>
            </w:pPr>
          </w:p>
        </w:tc>
      </w:tr>
    </w:tbl>
    <w:p w14:paraId="7B1A4386">
      <w:pPr>
        <w:rPr>
          <w:color w:val="000000" w:themeColor="text1"/>
          <w:lang w:val="sr-Cyrl-RS"/>
          <w14:textFill>
            <w14:solidFill>
              <w14:schemeClr w14:val="tx1"/>
            </w14:solidFill>
          </w14:textFill>
        </w:rPr>
      </w:pPr>
    </w:p>
    <w:p w14:paraId="399D74B9">
      <w:pPr>
        <w:pStyle w:val="3"/>
        <w:tabs>
          <w:tab w:val="left" w:pos="1418"/>
        </w:tabs>
        <w:rPr>
          <w:color w:val="000000" w:themeColor="text1"/>
          <w:lang w:val="sr-Cyrl-RS"/>
          <w14:textFill>
            <w14:solidFill>
              <w14:schemeClr w14:val="tx1"/>
            </w14:solidFill>
          </w14:textFill>
        </w:rPr>
      </w:pPr>
      <w:bookmarkStart w:id="16" w:name="_Toc229061121"/>
      <w:r>
        <w:rPr>
          <w:color w:val="000000" w:themeColor="text1"/>
          <w:lang w:val="sr-Cyrl-RS"/>
          <w14:textFill>
            <w14:solidFill>
              <w14:schemeClr w14:val="tx1"/>
            </w14:solidFill>
          </w14:textFill>
        </w:rPr>
        <w:t>2.2  Мисија</w:t>
      </w:r>
      <w:bookmarkEnd w:id="16"/>
    </w:p>
    <w:p w14:paraId="6893BF96">
      <w:p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Пирот је заједница која паметне технологије претвара у једнаке могућности за све, унапређујући економију, животну средину и квалитет живота грађана и посетилаца.</w:t>
      </w:r>
    </w:p>
    <w:p w14:paraId="0729CA4B">
      <w:p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Полазећи од визије да буде паметна локална заједница која иде у сусрет својим грађанима, мисија Пирота је да:</w:t>
      </w:r>
    </w:p>
    <w:p w14:paraId="694248D4">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Локална привреда постане иновативна и дигитално подржана, уз снажну подршку предузетништву, туризму и руралном развоју,</w:t>
      </w:r>
    </w:p>
    <w:p w14:paraId="2EF0E5F4">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Урбана мобилност буде приступачна, ефикасна и еколошки одржива, уз паметну инфраструктуру и мање застоја,</w:t>
      </w:r>
    </w:p>
    <w:p w14:paraId="6AB27B8F">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Животна средина буде заштићена кроз паметно управљање ресурсима, отпадом и енергетском ефикасношћу,</w:t>
      </w:r>
    </w:p>
    <w:p w14:paraId="5C3B0672">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Дигитална инфраструктура буде сигурна, интероперабилна и доступна свим системима,</w:t>
      </w:r>
    </w:p>
    <w:p w14:paraId="5F733A06">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Јавни простори буду функционални, зелени и инклузивни, као места сусрета и заједништва,</w:t>
      </w:r>
    </w:p>
    <w:p w14:paraId="6285E69F">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Свакодневни живот грађана буде подржан дигиталним услугама, већом писменошћу и инклузивношћу,</w:t>
      </w:r>
    </w:p>
    <w:p w14:paraId="45ED57EC">
      <w:pPr>
        <w:pStyle w:val="39"/>
        <w:numPr>
          <w:ilvl w:val="0"/>
          <w:numId w:val="16"/>
        </w:numPr>
        <w:jc w:val="both"/>
        <w:rPr>
          <w:rFonts w:ascii="Times New Roman" w:hAnsi="Times New Roman" w:cs="Times New Roman"/>
          <w:color w:val="000000" w:themeColor="text1"/>
          <w:lang w:val="sr-Cyrl-RS"/>
          <w14:textFill>
            <w14:solidFill>
              <w14:schemeClr w14:val="tx1"/>
            </w14:solidFill>
          </w14:textFill>
        </w:rPr>
      </w:pPr>
      <w:r>
        <w:rPr>
          <w:rFonts w:ascii="Times New Roman" w:hAnsi="Times New Roman" w:cs="Times New Roman"/>
          <w:color w:val="000000" w:themeColor="text1"/>
          <w:lang w:val="sr-Cyrl-RS"/>
          <w14:textFill>
            <w14:solidFill>
              <w14:schemeClr w14:val="tx1"/>
            </w14:solidFill>
          </w14:textFill>
        </w:rPr>
        <w:t>Локална управа буде транспарентна, оријентисана ка грађанима и заснована на подацима.</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2FF76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shd w:val="clear" w:color="auto" w:fill="FAE2D5" w:themeFill="accent2" w:themeFillTint="33"/>
          </w:tcPr>
          <w:p w14:paraId="33CCD479">
            <w:pPr>
              <w:tabs>
                <w:tab w:val="left" w:pos="6684"/>
              </w:tabs>
              <w:spacing w:after="0" w:line="240" w:lineRule="auto"/>
              <w:jc w:val="both"/>
              <w:rPr>
                <w:rFonts w:ascii="Times New Roman" w:hAnsi="Times New Roman" w:cs="Times New Roman"/>
                <w:b/>
                <w:bCs/>
                <w:color w:val="000000" w:themeColor="text1"/>
                <w:lang w:val="sr-Cyrl-RS"/>
                <w14:textFill>
                  <w14:solidFill>
                    <w14:schemeClr w14:val="tx1"/>
                  </w14:solidFill>
                </w14:textFill>
              </w:rPr>
            </w:pPr>
          </w:p>
          <w:p w14:paraId="34FB8CEA">
            <w:pPr>
              <w:tabs>
                <w:tab w:val="left" w:pos="6684"/>
              </w:tabs>
              <w:spacing w:after="0" w:line="240" w:lineRule="auto"/>
              <w:jc w:val="both"/>
              <w:rPr>
                <w:rFonts w:ascii="Times New Roman" w:hAnsi="Times New Roman" w:cs="Times New Roman"/>
                <w:b/>
                <w:bCs/>
                <w:color w:val="000000" w:themeColor="text1"/>
                <w:lang w:val="sr-Cyrl-RS"/>
                <w14:textFill>
                  <w14:solidFill>
                    <w14:schemeClr w14:val="tx1"/>
                  </w14:solidFill>
                </w14:textFill>
              </w:rPr>
            </w:pPr>
            <w:r>
              <w:rPr>
                <w:rFonts w:ascii="Times New Roman" w:hAnsi="Times New Roman" w:cs="Times New Roman"/>
                <w:b/>
                <w:bCs/>
                <w:color w:val="000000" w:themeColor="text1"/>
                <w:lang w:val="sr-Cyrl-RS"/>
                <w14:textFill>
                  <w14:solidFill>
                    <w14:schemeClr w14:val="tx1"/>
                  </w14:solidFill>
                </w14:textFill>
              </w:rPr>
              <w:t>Пирот гради заједницу која користи дигиталне технологије и паметна решења да би економија била иновативна, мобилност приступачна, животна средина одржива, инфраструктура сигурна, јавни простори функционални, свакодневни живот квалитетан, а управа транспарентна и оријентисана ка грађанима.</w:t>
            </w:r>
          </w:p>
          <w:p w14:paraId="3D52E3BC">
            <w:pPr>
              <w:tabs>
                <w:tab w:val="left" w:pos="6684"/>
              </w:tabs>
              <w:spacing w:after="0" w:line="240" w:lineRule="auto"/>
              <w:jc w:val="both"/>
              <w:rPr>
                <w:rFonts w:ascii="Times New Roman" w:hAnsi="Times New Roman" w:cs="Times New Roman"/>
                <w:b/>
                <w:bCs/>
                <w:color w:val="000000" w:themeColor="text1"/>
                <w:lang w:val="sr-Cyrl-RS"/>
                <w14:textFill>
                  <w14:solidFill>
                    <w14:schemeClr w14:val="tx1"/>
                  </w14:solidFill>
                </w14:textFill>
              </w:rPr>
            </w:pPr>
          </w:p>
        </w:tc>
      </w:tr>
    </w:tbl>
    <w:p w14:paraId="40FC2241">
      <w:pPr>
        <w:spacing w:after="0" w:line="240" w:lineRule="auto"/>
        <w:rPr>
          <w:color w:val="000000" w:themeColor="text1"/>
          <w:lang w:val="sr-Cyrl-RS"/>
          <w14:textFill>
            <w14:solidFill>
              <w14:schemeClr w14:val="tx1"/>
            </w14:solidFill>
          </w14:textFill>
        </w:rPr>
      </w:pPr>
    </w:p>
    <w:p w14:paraId="256DB047">
      <w:pPr>
        <w:spacing w:after="0" w:line="240" w:lineRule="auto"/>
        <w:jc w:val="center"/>
        <w:rPr>
          <w:color w:val="000000" w:themeColor="text1"/>
          <w:lang w:val="sr-Cyrl-RS"/>
          <w14:textFill>
            <w14:solidFill>
              <w14:schemeClr w14:val="tx1"/>
            </w14:solidFill>
          </w14:textFill>
        </w:rPr>
      </w:pPr>
      <w:r>
        <w:rPr>
          <w:rFonts w:ascii="Times New Roman" w:hAnsi="Times New Roman" w:eastAsia="Times New Roman" w:cs="Times New Roman"/>
          <w:color w:val="000000" w:themeColor="text1"/>
          <w:kern w:val="0"/>
          <w:sz w:val="22"/>
          <w:szCs w:val="22"/>
          <w:lang w:val="en-GB" w:eastAsia="en-GB"/>
          <w14:textFill>
            <w14:solidFill>
              <w14:schemeClr w14:val="tx1"/>
            </w14:solidFill>
          </w14:textFill>
        </w:rPr>
        <w:drawing>
          <wp:inline distT="0" distB="0" distL="0" distR="0">
            <wp:extent cx="4060825" cy="4465955"/>
            <wp:effectExtent l="0" t="0" r="0" b="0"/>
            <wp:docPr id="1820279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27955"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42137" cy="4554866"/>
                    </a:xfrm>
                    <a:prstGeom prst="rect">
                      <a:avLst/>
                    </a:prstGeom>
                    <a:noFill/>
                    <a:ln>
                      <a:noFill/>
                    </a:ln>
                  </pic:spPr>
                </pic:pic>
              </a:graphicData>
            </a:graphic>
          </wp:inline>
        </w:drawing>
      </w:r>
    </w:p>
    <w:p w14:paraId="2D2269AE">
      <w:pPr>
        <w:pStyle w:val="3"/>
        <w:tabs>
          <w:tab w:val="left" w:pos="1418"/>
        </w:tabs>
        <w:rPr>
          <w:color w:val="000000" w:themeColor="text1"/>
          <w:lang w:val="sr-Cyrl-RS"/>
          <w14:textFill>
            <w14:solidFill>
              <w14:schemeClr w14:val="tx1"/>
            </w14:solidFill>
          </w14:textFill>
        </w:rPr>
      </w:pPr>
    </w:p>
    <w:p w14:paraId="23BAEEE8">
      <w:pPr>
        <w:pStyle w:val="3"/>
        <w:tabs>
          <w:tab w:val="left" w:pos="1418"/>
        </w:tabs>
        <w:rPr>
          <w:color w:val="000000" w:themeColor="text1"/>
          <w:lang w:val="sr-Cyrl-RS"/>
          <w14:textFill>
            <w14:solidFill>
              <w14:schemeClr w14:val="tx1"/>
            </w14:solidFill>
          </w14:textFill>
        </w:rPr>
      </w:pPr>
      <w:bookmarkStart w:id="17" w:name="_Toc229061122"/>
      <w:r>
        <w:rPr>
          <w:color w:val="000000" w:themeColor="text1"/>
          <w:lang w:val="sr-Cyrl-RS"/>
          <w14:textFill>
            <w14:solidFill>
              <w14:schemeClr w14:val="tx1"/>
            </w14:solidFill>
          </w14:textFill>
        </w:rPr>
        <w:t>2.3 Приоритетни циљеви</w:t>
      </w:r>
      <w:bookmarkEnd w:id="17"/>
      <w:r>
        <w:rPr>
          <w:color w:val="000000" w:themeColor="text1"/>
          <w:lang w:val="sr-Cyrl-RS"/>
          <w14:textFill>
            <w14:solidFill>
              <w14:schemeClr w14:val="tx1"/>
            </w14:solidFill>
          </w14:textFill>
        </w:rPr>
        <w:t xml:space="preserve"> </w:t>
      </w:r>
    </w:p>
    <w:p w14:paraId="556C0535">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r>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t xml:space="preserve">Приоритетна област 1: Паметна привреда </w:t>
      </w:r>
    </w:p>
    <w:p w14:paraId="2C10B4AC">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r>
        <w:rPr>
          <w:rFonts w:ascii="Times New Roman" w:hAnsi="Times New Roman" w:eastAsia="Calibri" w:cs="Times New Roman"/>
          <w:color w:val="000000" w:themeColor="text1"/>
          <w:kern w:val="0"/>
          <w:lang w:val="sr-Cyrl-RS" w:eastAsia="en-GB"/>
          <w14:textFill>
            <w14:solidFill>
              <w14:schemeClr w14:val="tx1"/>
            </w14:solidFill>
          </w14:textFill>
        </w:rPr>
        <w:t>Паметна привреда (smart economy) се односи на привреду која је заснована на технолошким иновацијама и ефикасности ресурса, и која тежи остварењу принципа одрживости и друштвеног благостања. Она интегрише иновације, нове предузетничке иницијативе, повећава продуктивност и конкурентност, са општим циљем побољшања квалитета живота свих грађана.</w:t>
      </w:r>
    </w:p>
    <w:p w14:paraId="17EFEBF9">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r>
        <w:rPr>
          <w:rFonts w:ascii="Times New Roman" w:hAnsi="Times New Roman" w:eastAsia="Calibri" w:cs="Times New Roman"/>
          <w:color w:val="000000" w:themeColor="text1"/>
          <w:kern w:val="0"/>
          <w:lang w:val="sr-Cyrl-RS" w:eastAsia="en-GB"/>
          <w14:textFill>
            <w14:solidFill>
              <w14:schemeClr w14:val="tx1"/>
            </w14:solidFill>
          </w14:textFill>
        </w:rPr>
        <w:t xml:space="preserve">Област паметне привреде подржана је постојањем стабилног буџета, искусних кадрова, отворених података на </w:t>
      </w:r>
      <w:r>
        <w:rPr>
          <w:rFonts w:ascii="Times New Roman" w:hAnsi="Times New Roman" w:eastAsia="Calibri" w:cs="Times New Roman"/>
          <w:i/>
          <w:iCs/>
          <w:color w:val="000000" w:themeColor="text1"/>
          <w:kern w:val="0"/>
          <w:lang w:val="sr-Cyrl-RS" w:eastAsia="en-GB"/>
          <w14:textFill>
            <w14:solidFill>
              <w14:schemeClr w14:val="tx1"/>
            </w14:solidFill>
          </w14:textFill>
        </w:rPr>
        <w:t>Порталу отворених података</w:t>
      </w:r>
      <w:r>
        <w:rPr>
          <w:rFonts w:ascii="Times New Roman" w:hAnsi="Times New Roman" w:eastAsia="Calibri" w:cs="Times New Roman"/>
          <w:color w:val="000000" w:themeColor="text1"/>
          <w:kern w:val="0"/>
          <w:lang w:val="sr-Cyrl-RS" w:eastAsia="en-GB"/>
          <w14:textFill>
            <w14:solidFill>
              <w14:schemeClr w14:val="tx1"/>
            </w14:solidFill>
          </w14:textFill>
        </w:rPr>
        <w:t>, али и транспарентношћу буџета, спровођењем јавне расправе, партиципативним буџетирањем. Канцеларија за ЛЕР је развијена, даје пуну подршку привреди и изради свих неопходних стратешких докумената у овој области.</w:t>
      </w:r>
    </w:p>
    <w:p w14:paraId="6A3C7FDA">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p>
    <w:p w14:paraId="2E01CA94">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r>
        <w:rPr>
          <w:rFonts w:ascii="Times New Roman" w:hAnsi="Times New Roman" w:eastAsia="Calibri" w:cs="Times New Roman"/>
          <w:bCs/>
          <w:i/>
          <w:iCs/>
          <w:color w:val="000000" w:themeColor="text1"/>
          <w:kern w:val="0"/>
          <w:lang w:val="sr-Cyrl-RS" w:eastAsia="en-GB"/>
          <w14:textFill>
            <w14:solidFill>
              <w14:schemeClr w14:val="tx1"/>
            </w14:solidFill>
          </w14:textFill>
        </w:rPr>
        <w:t>Приоритетни циљеви у области 1:Паметна привреда</w:t>
      </w:r>
    </w:p>
    <w:p w14:paraId="15C55753">
      <w:pPr>
        <w:spacing w:before="100" w:beforeAutospacing="1" w:after="100" w:afterAutospacing="1" w:line="240" w:lineRule="auto"/>
        <w:contextualSpacing/>
        <w:rPr>
          <w:rFonts w:ascii="Times New Roman" w:hAnsi="Times New Roman" w:eastAsia="Times New Roman" w:cs="Times New Roman"/>
          <w:b/>
          <w:bCs/>
          <w:color w:val="000000" w:themeColor="text1"/>
          <w:kern w:val="0"/>
          <w:lang w:val="sr-Cyrl-RS" w:eastAsia="en-GB"/>
          <w14:textFill>
            <w14:solidFill>
              <w14:schemeClr w14:val="tx1"/>
            </w14:solidFill>
          </w14:textFill>
        </w:rPr>
      </w:pPr>
    </w:p>
    <w:p w14:paraId="4EB3D089">
      <w:pPr>
        <w:spacing w:after="0" w:line="240" w:lineRule="auto"/>
        <w:contextualSpacing/>
        <w:rPr>
          <w:rFonts w:ascii="Times New Roman" w:hAnsi="Times New Roman" w:eastAsia="Times New Roman" w:cs="Times New Roman"/>
          <w:b/>
          <w:bCs/>
          <w:color w:val="000000" w:themeColor="text1"/>
          <w:kern w:val="0"/>
          <w:lang w:val="sr-Cyrl-RS" w:eastAsia="en-GB"/>
          <w14:textFill>
            <w14:solidFill>
              <w14:schemeClr w14:val="tx1"/>
            </w14:solidFill>
          </w14:textFill>
        </w:rPr>
      </w:pPr>
      <w:r>
        <w:rPr>
          <w:rFonts w:ascii="Times New Roman" w:hAnsi="Times New Roman" w:eastAsia="Times New Roman" w:cs="Times New Roman"/>
          <w:b/>
          <w:bCs/>
          <w:color w:val="000000" w:themeColor="text1"/>
          <w:kern w:val="0"/>
          <w:lang w:val="sr-Cyrl-RS" w:eastAsia="en-GB"/>
          <w14:textFill>
            <w14:solidFill>
              <w14:schemeClr w14:val="tx1"/>
            </w14:solidFill>
          </w14:textFill>
        </w:rPr>
        <w:t>Приоритетни циљ 1.1: Подстицаји за иновације, дигитално предузетништво и примену дигиталних технологија у локалној привреди</w:t>
      </w:r>
    </w:p>
    <w:p w14:paraId="3A8B0EF1">
      <w:pPr>
        <w:pStyle w:val="39"/>
        <w:numPr>
          <w:ilvl w:val="0"/>
          <w:numId w:val="17"/>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1.1.1 Финансијска подршка дигиталној трансформацији ММСП (субвенције за дигитализацију производних процеса, набавку паметне опреме, развој софтвера, развој паметних решења) </w:t>
      </w:r>
    </w:p>
    <w:p w14:paraId="278DF227">
      <w:pPr>
        <w:pStyle w:val="39"/>
        <w:numPr>
          <w:ilvl w:val="0"/>
          <w:numId w:val="17"/>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1.1.2 Оснивање локалног Фонда за дигитализацију и паметна решења, као институционални инструмент за развој локалног дигиталног и ИТ екосистема (подстицаје за ИТ фирме, обезбеђивање простора (coworking / hub), повезивање ИТ сектора и традиционалне привреде)</w:t>
      </w:r>
    </w:p>
    <w:p w14:paraId="0B8F9D36">
      <w:pPr>
        <w:pStyle w:val="39"/>
        <w:numPr>
          <w:ilvl w:val="0"/>
          <w:numId w:val="17"/>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1.1.3 Унапређење комуникације, информисања и едукације микро, малих и средњих предузећа (веб страница / информативна платформа за ММСП, обуке, </w:t>
      </w:r>
    </w:p>
    <w:p w14:paraId="1F8EC855">
      <w:pPr>
        <w:pStyle w:val="39"/>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укључивање у креирање мера, консултације и промоција паметних решења, B2B догађаји)</w:t>
      </w:r>
    </w:p>
    <w:p w14:paraId="43A822B2">
      <w:pPr>
        <w:pStyle w:val="39"/>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2447DAE3">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1.2: Паметан и дигитално подржан рурални развоj</w:t>
      </w:r>
    </w:p>
    <w:p w14:paraId="73A4F03B">
      <w:pPr>
        <w:pStyle w:val="39"/>
        <w:numPr>
          <w:ilvl w:val="0"/>
          <w:numId w:val="18"/>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1.2.1 Унапређење капацитета пољопривредних произвођача за коришћење дигиталних сервиса и дигитални маркетинг у циљу бољег пласмана и продаје производа (у сарадњи са ИТ заједницом)</w:t>
      </w:r>
    </w:p>
    <w:p w14:paraId="3C0AC23B">
      <w:pPr>
        <w:pStyle w:val="39"/>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03CA19AB">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1.3: Дигитализација туристичке понуде и увођење паметних решења за туристе</w:t>
      </w:r>
    </w:p>
    <w:p w14:paraId="010B70A1">
      <w:pPr>
        <w:pStyle w:val="39"/>
        <w:numPr>
          <w:ilvl w:val="0"/>
          <w:numId w:val="19"/>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1.3.1 Развој јединственог бренда града као подршка стварању паметне туристичке дестинације</w:t>
      </w:r>
    </w:p>
    <w:p w14:paraId="7E1A0087">
      <w:pPr>
        <w:pStyle w:val="39"/>
        <w:numPr>
          <w:ilvl w:val="0"/>
          <w:numId w:val="19"/>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1.3.2 Увођење свеобухватног дигиталног туристичког водича </w:t>
      </w:r>
      <w:r>
        <w:rPr>
          <w:rFonts w:ascii="Times New Roman" w:hAnsi="Times New Roman" w:eastAsia="Times New Roman" w:cs="Times New Roman"/>
          <w:i/>
          <w:iCs/>
          <w:color w:val="000000" w:themeColor="text1"/>
          <w:kern w:val="0"/>
          <w:lang w:val="sr-Cyrl-RS" w:eastAsia="en-GB"/>
          <w14:textFill>
            <w14:solidFill>
              <w14:schemeClr w14:val="tx1"/>
            </w14:solidFill>
          </w14:textFill>
        </w:rPr>
        <w:t>Smart Pirot Guide</w:t>
      </w:r>
      <w:r>
        <w:rPr>
          <w:rFonts w:ascii="Times New Roman" w:hAnsi="Times New Roman" w:eastAsia="Times New Roman" w:cs="Times New Roman"/>
          <w:color w:val="000000" w:themeColor="text1"/>
          <w:kern w:val="0"/>
          <w:lang w:val="sr-Cyrl-RS" w:eastAsia="en-GB"/>
          <w14:textFill>
            <w14:solidFill>
              <w14:schemeClr w14:val="tx1"/>
            </w14:solidFill>
          </w14:textFill>
        </w:rPr>
        <w:t>, укључујући и дигиталну платформу за резервацију смештаја у граду Пироту</w:t>
      </w:r>
    </w:p>
    <w:p w14:paraId="15EAD8F4">
      <w:pPr>
        <w:pStyle w:val="39"/>
        <w:numPr>
          <w:ilvl w:val="0"/>
          <w:numId w:val="19"/>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1.3.3 Rich media content – мултимедијално, виртуелно и друго дититално представљање туристичке понуде и туристичких производа</w:t>
      </w:r>
    </w:p>
    <w:p w14:paraId="6D91B572">
      <w:pPr>
        <w:pStyle w:val="39"/>
        <w:numPr>
          <w:ilvl w:val="0"/>
          <w:numId w:val="19"/>
        </w:numPr>
        <w:spacing w:after="0" w:line="240" w:lineRule="auto"/>
        <w:rPr>
          <w:rFonts w:ascii="Times New Roman" w:hAnsi="Times New Roman" w:eastAsia="Times New Roman" w:cs="Times New Roman"/>
          <w:b/>
          <w:bCs/>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1.3.4 Утврђивање тренутног стања постојећих дигиталних решења у туризму и припрема плана за ревитализацију постојећих нефункционалних система  унапређење дигиталне туристичке понуде (бесплатaн брзи WiFi у културном језгру града и свим објектима културе – Момчилов град, музеј Понишавља, итд.)</w:t>
      </w:r>
    </w:p>
    <w:p w14:paraId="7F9C04CE">
      <w:pPr>
        <w:pStyle w:val="39"/>
        <w:spacing w:after="0" w:line="240" w:lineRule="auto"/>
        <w:rPr>
          <w:rFonts w:ascii="Times New Roman" w:hAnsi="Times New Roman" w:eastAsia="Times New Roman" w:cs="Times New Roman"/>
          <w:b/>
          <w:bCs/>
          <w:color w:val="000000" w:themeColor="text1"/>
          <w:kern w:val="0"/>
          <w:lang w:val="sr-Cyrl-RS" w:eastAsia="en-GB"/>
          <w14:textFill>
            <w14:solidFill>
              <w14:schemeClr w14:val="tx1"/>
            </w14:solidFill>
          </w14:textFill>
        </w:rPr>
      </w:pPr>
    </w:p>
    <w:p w14:paraId="09EAC815">
      <w:pPr>
        <w:spacing w:after="0" w:line="240" w:lineRule="auto"/>
        <w:contextualSpacing/>
        <w:rPr>
          <w:rFonts w:ascii="Times New Roman" w:hAnsi="Times New Roman" w:eastAsia="Calibri"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bCs/>
          <w:color w:val="000000" w:themeColor="text1"/>
          <w:kern w:val="0"/>
          <w:lang w:val="sr-Cyrl-RS" w:eastAsia="en-GB"/>
          <w14:textFill>
            <w14:solidFill>
              <w14:schemeClr w14:val="tx1"/>
            </w14:solidFill>
          </w14:textFill>
        </w:rPr>
        <w:t>Приоритетни циљ 1.4: Подстицаји за ММСП за коришћење локално доступних обновљивих извора енергије</w:t>
      </w:r>
    </w:p>
    <w:p w14:paraId="0F0A963D">
      <w:pPr>
        <w:pStyle w:val="39"/>
        <w:numPr>
          <w:ilvl w:val="0"/>
          <w:numId w:val="20"/>
        </w:numPr>
        <w:spacing w:after="0" w:line="240" w:lineRule="auto"/>
        <w:rPr>
          <w:rFonts w:ascii="Times New Roman" w:hAnsi="Times New Roman" w:eastAsia="Calibri" w:cs="Times New Roman"/>
          <w:bCs/>
          <w:color w:val="000000" w:themeColor="text1"/>
          <w:kern w:val="0"/>
          <w:lang w:val="sr-Cyrl-RS" w:eastAsia="en-GB"/>
          <w14:textFill>
            <w14:solidFill>
              <w14:schemeClr w14:val="tx1"/>
            </w14:solidFill>
          </w14:textFill>
        </w:rPr>
      </w:pPr>
      <w:r>
        <w:rPr>
          <w:rFonts w:ascii="Times New Roman" w:hAnsi="Times New Roman" w:eastAsia="Calibri" w:cs="Times New Roman"/>
          <w:bCs/>
          <w:color w:val="000000" w:themeColor="text1"/>
          <w:kern w:val="0"/>
          <w:lang w:val="sr-Cyrl-RS" w:eastAsia="en-GB"/>
          <w14:textFill>
            <w14:solidFill>
              <w14:schemeClr w14:val="tx1"/>
            </w14:solidFill>
          </w14:textFill>
        </w:rPr>
        <w:t>Мера 1.4.1 Подстицаји и субвенције за унапређење енергетске ефикасности МСП и коришћење обновљивих извора енергије у производњи</w:t>
      </w:r>
    </w:p>
    <w:p w14:paraId="24325603">
      <w:pPr>
        <w:pStyle w:val="39"/>
        <w:numPr>
          <w:ilvl w:val="0"/>
          <w:numId w:val="20"/>
        </w:numPr>
        <w:spacing w:after="0" w:line="240" w:lineRule="auto"/>
        <w:rPr>
          <w:rFonts w:ascii="Times New Roman" w:hAnsi="Times New Roman" w:eastAsia="Calibri" w:cs="Times New Roman"/>
          <w:bCs/>
          <w:color w:val="000000" w:themeColor="text1"/>
          <w:kern w:val="0"/>
          <w:lang w:val="sr-Cyrl-RS" w:eastAsia="en-GB"/>
          <w14:textFill>
            <w14:solidFill>
              <w14:schemeClr w14:val="tx1"/>
            </w14:solidFill>
          </w14:textFill>
        </w:rPr>
      </w:pPr>
      <w:r>
        <w:rPr>
          <w:rFonts w:ascii="Times New Roman" w:hAnsi="Times New Roman" w:eastAsia="Calibri" w:cs="Times New Roman"/>
          <w:bCs/>
          <w:color w:val="000000" w:themeColor="text1"/>
          <w:kern w:val="0"/>
          <w:lang w:val="sr-Cyrl-RS" w:eastAsia="en-GB"/>
          <w14:textFill>
            <w14:solidFill>
              <w14:schemeClr w14:val="tx1"/>
            </w14:solidFill>
          </w14:textFill>
        </w:rPr>
        <w:t>Мера 1.4.2 Подршка унапређењу производних процеса кроз уштеде у енергији</w:t>
      </w:r>
    </w:p>
    <w:p w14:paraId="3A1A7F3E">
      <w:pPr>
        <w:spacing w:after="0" w:line="240" w:lineRule="auto"/>
        <w:rPr>
          <w:rFonts w:ascii="Times New Roman" w:hAnsi="Times New Roman" w:eastAsia="Calibri" w:cs="Times New Roman"/>
          <w:b/>
          <w:color w:val="000000" w:themeColor="text1"/>
          <w:kern w:val="0"/>
          <w:szCs w:val="22"/>
          <w:lang w:val="sr-Cyrl-RS" w:eastAsia="en-GB"/>
          <w14:textFill>
            <w14:solidFill>
              <w14:schemeClr w14:val="tx1"/>
            </w14:solidFill>
          </w14:textFill>
        </w:rPr>
      </w:pPr>
    </w:p>
    <w:p w14:paraId="2590324F">
      <w:pPr>
        <w:spacing w:after="0" w:line="240" w:lineRule="auto"/>
        <w:rPr>
          <w:rFonts w:ascii="Times New Roman" w:hAnsi="Times New Roman" w:eastAsia="Calibri" w:cs="Times New Roman"/>
          <w:b/>
          <w:color w:val="000000" w:themeColor="text1"/>
          <w:kern w:val="0"/>
          <w:szCs w:val="22"/>
          <w:lang w:val="sr-Cyrl-RS" w:eastAsia="en-GB"/>
          <w14:textFill>
            <w14:solidFill>
              <w14:schemeClr w14:val="tx1"/>
            </w14:solidFill>
          </w14:textFill>
        </w:rPr>
      </w:pPr>
    </w:p>
    <w:p w14:paraId="27E6D0CD">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r>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t>Приоритетна област 2: Паметна урбана мобилност</w:t>
      </w:r>
    </w:p>
    <w:p w14:paraId="5CE5029E">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Урбана мобилност представља један од кључних сегмената развоја паметног града, усмереног ка ефикасном кретању људи и добара, уз минималан негативан утицај на животну средину. Она подразумева примену паметних решења која доприносе бољој организацији саобраћаја, већој безбедности учесника и смањењу застоја, уз истовремено унапређење квалитета живота грађана. Урбана мобилност није само питање саобраћаја, већ и приступачности – омогућава свим групама становништва једнак приступ објектима, услугама и садржајима у граду.</w:t>
      </w:r>
    </w:p>
    <w:p w14:paraId="58A23F70">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636895EF">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Област урбане мобилности у Пироту заснива се на развоју паметне саобраћајне инфраструктуре и сигнализације, која омогућава боље управљање протоком саобраћаја и повећава ефикасност коришћења ресурса. Приоритети учесника усмерени су ка смањењу загађења и негативних ефеката саобраћаја на животну средину, уз промовисање одрживих модела кретања. На овај начин, урбана мобилност постаје важан фактор у изградњи града који је истовремено функционалан, одржив и прилагођен потребама свих својих грађана.</w:t>
      </w:r>
    </w:p>
    <w:p w14:paraId="3E4CE165">
      <w:pPr>
        <w:spacing w:before="100" w:beforeAutospacing="1" w:after="100" w:afterAutospacing="1" w:line="240" w:lineRule="auto"/>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266FA4ED">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r>
        <w:rPr>
          <w:rFonts w:ascii="Times New Roman" w:hAnsi="Times New Roman" w:eastAsia="Calibri" w:cs="Times New Roman"/>
          <w:bCs/>
          <w:i/>
          <w:iCs/>
          <w:color w:val="000000" w:themeColor="text1"/>
          <w:kern w:val="0"/>
          <w:lang w:val="sr-Cyrl-RS" w:eastAsia="en-GB"/>
          <w14:textFill>
            <w14:solidFill>
              <w14:schemeClr w14:val="tx1"/>
            </w14:solidFill>
          </w14:textFill>
        </w:rPr>
        <w:t>Приоритетни циљеви у области 2: Паметна урбана мобилност</w:t>
      </w:r>
    </w:p>
    <w:p w14:paraId="2416EBA5">
      <w:pPr>
        <w:spacing w:before="100" w:beforeAutospacing="1" w:after="100" w:afterAutospacing="1" w:line="240" w:lineRule="auto"/>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1E5AE0BA">
      <w:pPr>
        <w:spacing w:before="100" w:beforeAutospacing="1" w:after="100" w:afterAutospacing="1"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2.1: Приступачност  саобраћајне инфраструктуре, објеката, услуга и садржаја свим групама становништва</w:t>
      </w:r>
    </w:p>
    <w:p w14:paraId="40FD7EDE">
      <w:pPr>
        <w:pStyle w:val="39"/>
        <w:numPr>
          <w:ilvl w:val="0"/>
          <w:numId w:val="21"/>
        </w:numPr>
        <w:spacing w:before="100" w:beforeAutospacing="1" w:after="100" w:afterAutospacing="1"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Мера 2.1.1 Мера 2.1.1 Унапређење приступачности јавних услуга, објеката и информација за особе са инвалидитетом и друге осетљиве групе</w:t>
      </w:r>
    </w:p>
    <w:p w14:paraId="5F37E44C">
      <w:pPr>
        <w:pStyle w:val="39"/>
        <w:numPr>
          <w:ilvl w:val="0"/>
          <w:numId w:val="21"/>
        </w:numPr>
        <w:spacing w:before="100" w:beforeAutospacing="1" w:after="100" w:afterAutospacing="1"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Мера 2.1.2 Подршка дигиталној инклузији грађана и коришћењу електронских услуга</w:t>
      </w:r>
    </w:p>
    <w:p w14:paraId="65849BB5">
      <w:pPr>
        <w:spacing w:after="0" w:line="240" w:lineRule="auto"/>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2.2: Развој паметне саобраћајне инфраструктуре и сигнализације</w:t>
      </w:r>
    </w:p>
    <w:p w14:paraId="2B56588E">
      <w:pPr>
        <w:pStyle w:val="39"/>
        <w:numPr>
          <w:ilvl w:val="0"/>
          <w:numId w:val="22"/>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2.2.1 Имплементација интелигентних система за управљање саобраћајем и брзинама </w:t>
      </w:r>
    </w:p>
    <w:p w14:paraId="5BCDEC76">
      <w:pPr>
        <w:pStyle w:val="39"/>
        <w:numPr>
          <w:ilvl w:val="0"/>
          <w:numId w:val="22"/>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2.2.2 Успостављање функционалног система Google Transit</w:t>
      </w:r>
    </w:p>
    <w:p w14:paraId="05F554AB">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2.3: Кретање и паркирање у урбаном простору</w:t>
      </w:r>
    </w:p>
    <w:p w14:paraId="2119C661">
      <w:pPr>
        <w:pStyle w:val="39"/>
        <w:numPr>
          <w:ilvl w:val="0"/>
          <w:numId w:val="23"/>
        </w:numPr>
        <w:spacing w:after="0"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Мера 2.3.1 Мера 2.3.1 Успостављање и унапређење интегрисаног система за управљање паркинг простором</w:t>
      </w:r>
    </w:p>
    <w:p w14:paraId="6101D0FC">
      <w:pPr>
        <w:spacing w:after="0" w:line="240" w:lineRule="auto"/>
        <w:ind w:left="357"/>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64FD27A4">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2.4: Смањење саобраћајних застоја, загађења и негативног утицаја саобраћаја на животну средину</w:t>
      </w:r>
    </w:p>
    <w:p w14:paraId="715AF309">
      <w:pPr>
        <w:pStyle w:val="39"/>
        <w:numPr>
          <w:ilvl w:val="0"/>
          <w:numId w:val="24"/>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2.4.1 Подршка такси-превозницима за набавку електричних возила (тренутно има око 40 хибридних возила) </w:t>
      </w:r>
    </w:p>
    <w:p w14:paraId="52CD8BE0">
      <w:pPr>
        <w:pStyle w:val="39"/>
        <w:numPr>
          <w:ilvl w:val="0"/>
          <w:numId w:val="24"/>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2.4.2 Увођење и коришћење додатних електро-пуњача (тренутно највише користе таксисти, потребно је више њих, да би могли да користе и грађани)</w:t>
      </w:r>
    </w:p>
    <w:p w14:paraId="28D3AD6F">
      <w:pPr>
        <w:pStyle w:val="39"/>
        <w:numPr>
          <w:ilvl w:val="0"/>
          <w:numId w:val="24"/>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2.4.3 Континуирани развој аутоматске контроле саобраћаја у сарадњи са МУП-ом</w:t>
      </w:r>
    </w:p>
    <w:p w14:paraId="56147A51">
      <w:pPr>
        <w:spacing w:after="0" w:line="240" w:lineRule="auto"/>
        <w:rPr>
          <w:rFonts w:ascii="Times New Roman" w:hAnsi="Times New Roman" w:eastAsia="Calibri" w:cs="Times New Roman"/>
          <w:b/>
          <w:color w:val="000000" w:themeColor="text1"/>
          <w:kern w:val="0"/>
          <w:szCs w:val="22"/>
          <w:lang w:val="sr-Cyrl-RS" w:eastAsia="en-GB"/>
          <w14:textFill>
            <w14:solidFill>
              <w14:schemeClr w14:val="tx1"/>
            </w14:solidFill>
          </w14:textFill>
        </w:rPr>
      </w:pPr>
    </w:p>
    <w:p w14:paraId="37CBD5C2">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p>
    <w:p w14:paraId="6AA55661">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r>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t>Приоритетна област 3: Паметна животна средина</w:t>
      </w:r>
    </w:p>
    <w:p w14:paraId="63EFC916">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Паметна животна средина представља темељ одрживог развоја града и усмерена је на рационално коришћење природних ресурса уз очување њихове дугорочне вредности. Она подразумева паметно и одрживо управљање водом, ваздухом, енергијом и земљиштем, као и примену дигиталних технологија које омогућавају ефикасније праћење и контролу процеса. Циљ је да се обезбеди здравије и квалитетније окружење за све грађане, уз истовремено смањење негативних утицаја на природу.</w:t>
      </w:r>
    </w:p>
    <w:p w14:paraId="010248E2">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4FB2AB31">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Област паметне животне средине у Пироту заснива се на зеленом урбанистичком планирању, унапређењу енергетске ефикасности и широј примени обновљивих извора енергије. Приоритети учесника усмерени су ка дигитализацији управљања токовима отпада и стварању система који доприноси чистијем и одрживијем граду. На овај начин, паметна животна средина постаје кључни фактор у изградњи града који је истовремено еколошки одговоран, технолошки напредан и прилагођен потребама будућих генерација.</w:t>
      </w:r>
    </w:p>
    <w:p w14:paraId="145E4D46">
      <w:pPr>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00C7268A">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r>
        <w:rPr>
          <w:rFonts w:ascii="Times New Roman" w:hAnsi="Times New Roman" w:eastAsia="Calibri" w:cs="Times New Roman"/>
          <w:bCs/>
          <w:i/>
          <w:iCs/>
          <w:color w:val="000000" w:themeColor="text1"/>
          <w:kern w:val="0"/>
          <w:lang w:val="sr-Cyrl-RS" w:eastAsia="en-GB"/>
          <w14:textFill>
            <w14:solidFill>
              <w14:schemeClr w14:val="tx1"/>
            </w14:solidFill>
          </w14:textFill>
        </w:rPr>
        <w:t>Приоритетни циљеви у области 3: Заштита животне средине</w:t>
      </w:r>
    </w:p>
    <w:p w14:paraId="5D6C0CFD">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p>
    <w:p w14:paraId="731E20C5">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3.1: Паметно и одрживо управљање ресурсима (вода, ваздух)</w:t>
      </w:r>
    </w:p>
    <w:p w14:paraId="65DC1EF3">
      <w:pPr>
        <w:pStyle w:val="39"/>
        <w:numPr>
          <w:ilvl w:val="0"/>
          <w:numId w:val="25"/>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3.1.1 Унапређење система праћења квалитета воде, губитака воде и потрошње кроз увођење паметних решења и интегрисано управљање водоводним системом</w:t>
      </w:r>
    </w:p>
    <w:p w14:paraId="489C3F8C">
      <w:pPr>
        <w:pStyle w:val="39"/>
        <w:numPr>
          <w:ilvl w:val="0"/>
          <w:numId w:val="25"/>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3.1.2 Коришћење апликације за мерење квалитета ваздуха у циљу решавања проблема и доношења одлука о смањењу загађења</w:t>
      </w:r>
    </w:p>
    <w:p w14:paraId="2D3EAD96">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3.2 Дигитализација и паметна решења у управљању отпадом, зеленим површинама и енергетска ефикасност</w:t>
      </w:r>
    </w:p>
    <w:p w14:paraId="58961128">
      <w:pPr>
        <w:pStyle w:val="39"/>
        <w:numPr>
          <w:ilvl w:val="0"/>
          <w:numId w:val="26"/>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3.2.1 Паметна решења у области управљања отпадом (на пример, увођење сензора и камера за праћење контејнера)</w:t>
      </w:r>
    </w:p>
    <w:p w14:paraId="101D182E">
      <w:pPr>
        <w:pStyle w:val="39"/>
        <w:numPr>
          <w:ilvl w:val="0"/>
          <w:numId w:val="26"/>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3.2.2 Дигитално управљање зеленим површинама (на пример, увођење интегрисаног система </w:t>
      </w:r>
      <w:r>
        <w:rPr>
          <w:rFonts w:ascii="Times New Roman" w:hAnsi="Times New Roman" w:eastAsia="Times New Roman" w:cs="Times New Roman"/>
          <w:i/>
          <w:iCs/>
          <w:color w:val="000000" w:themeColor="text1"/>
          <w:kern w:val="0"/>
          <w:lang w:val="sr-Cyrl-RS" w:eastAsia="en-GB"/>
          <w14:textFill>
            <w14:solidFill>
              <w14:schemeClr w14:val="tx1"/>
            </w14:solidFill>
          </w14:textFill>
        </w:rPr>
        <w:t>Park Life</w:t>
      </w:r>
      <w:r>
        <w:rPr>
          <w:rFonts w:ascii="Times New Roman" w:hAnsi="Times New Roman" w:eastAsia="Times New Roman" w:cs="Times New Roman"/>
          <w:color w:val="000000" w:themeColor="text1"/>
          <w:kern w:val="0"/>
          <w:lang w:val="sr-Cyrl-RS" w:eastAsia="en-GB"/>
          <w14:textFill>
            <w14:solidFill>
              <w14:schemeClr w14:val="tx1"/>
            </w14:solidFill>
          </w14:textFill>
        </w:rPr>
        <w:t>)</w:t>
      </w:r>
    </w:p>
    <w:p w14:paraId="47355EB9">
      <w:pPr>
        <w:pStyle w:val="39"/>
        <w:numPr>
          <w:ilvl w:val="0"/>
          <w:numId w:val="26"/>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3.2.3 Унапређење енергетске ефикасности и коришћење обновљивих извора енергије - увођење соларних панела на свим јавним зградама</w:t>
      </w:r>
    </w:p>
    <w:p w14:paraId="657FBA05">
      <w:pPr>
        <w:pStyle w:val="39"/>
        <w:numPr>
          <w:ilvl w:val="0"/>
          <w:numId w:val="26"/>
        </w:numPr>
        <w:tabs>
          <w:tab w:val="left" w:pos="3663"/>
        </w:tabs>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3.2.4 Праћење ефеката потрошње енергије – у приватним објектима</w:t>
      </w:r>
    </w:p>
    <w:p w14:paraId="70103159">
      <w:pPr>
        <w:spacing w:after="0" w:line="240" w:lineRule="auto"/>
        <w:rPr>
          <w:rFonts w:ascii="Times New Roman" w:hAnsi="Times New Roman" w:eastAsia="Calibri" w:cs="Times New Roman"/>
          <w:b/>
          <w:color w:val="000000" w:themeColor="text1"/>
          <w:kern w:val="0"/>
          <w:lang w:val="sr-Cyrl-RS" w:eastAsia="en-GB"/>
          <w14:textFill>
            <w14:solidFill>
              <w14:schemeClr w14:val="tx1"/>
            </w14:solidFill>
          </w14:textFill>
        </w:rPr>
      </w:pPr>
    </w:p>
    <w:p w14:paraId="681AC2FA">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p>
    <w:p w14:paraId="384213E0">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r>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t>Приоритетна област 4: Паметна локална заједница</w:t>
      </w:r>
    </w:p>
    <w:p w14:paraId="5A014B9E">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r>
        <w:rPr>
          <w:rFonts w:ascii="Times New Roman" w:hAnsi="Times New Roman" w:eastAsia="Calibri" w:cs="Times New Roman"/>
          <w:color w:val="000000" w:themeColor="text1"/>
          <w:kern w:val="0"/>
          <w:lang w:val="sr-Cyrl-RS" w:eastAsia="en-GB"/>
          <w14:textFill>
            <w14:solidFill>
              <w14:schemeClr w14:val="tx1"/>
            </w14:solidFill>
          </w14:textFill>
        </w:rPr>
        <w:t>Паметна локална заједница представља основу развоја паметног града, усмерену на ефикасно, транспарентно и одговорно управљање јавним ресурсима. Она подразумева примену дигиталних технологија и иновативних решења која омогућавају бољу организацију, већу доступност информација и активно учешће грађана у процесима одлучивања. На овај начин гради се поверење између локалне управе и грађана, уз истовремено унапређење квалитета јавних услуга.</w:t>
      </w:r>
    </w:p>
    <w:p w14:paraId="7EBEE508">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p>
    <w:p w14:paraId="7C654EAD">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r>
        <w:rPr>
          <w:rFonts w:ascii="Times New Roman" w:hAnsi="Times New Roman" w:eastAsia="Calibri" w:cs="Times New Roman"/>
          <w:color w:val="000000" w:themeColor="text1"/>
          <w:kern w:val="0"/>
          <w:lang w:val="sr-Cyrl-RS" w:eastAsia="en-GB"/>
          <w14:textFill>
            <w14:solidFill>
              <w14:schemeClr w14:val="tx1"/>
            </w14:solidFill>
          </w14:textFill>
        </w:rPr>
        <w:t>Област паметне локалне заједнице обухвата одрживо урбано планирање и квалитетно уређење јавних простора, као и развој дигиталне инфраструктуре која омогућава примену паметних решења у свакодневном животу. Приоритети су усмерени ка стварању окружења које је функционално, транспарентно и инклузивно, са циљем да се обезбеди бољи квалитет живота и већа друштвена кохезија у локалној заједници.</w:t>
      </w:r>
    </w:p>
    <w:p w14:paraId="55883CE8">
      <w:pPr>
        <w:spacing w:after="0" w:line="240" w:lineRule="auto"/>
        <w:rPr>
          <w:rFonts w:ascii="Times New Roman" w:hAnsi="Times New Roman" w:eastAsia="Calibri" w:cs="Times New Roman"/>
          <w:b/>
          <w:color w:val="000000" w:themeColor="text1"/>
          <w:kern w:val="0"/>
          <w:lang w:val="sr-Cyrl-RS" w:eastAsia="en-GB"/>
          <w14:textFill>
            <w14:solidFill>
              <w14:schemeClr w14:val="tx1"/>
            </w14:solidFill>
          </w14:textFill>
        </w:rPr>
      </w:pPr>
    </w:p>
    <w:p w14:paraId="66956612">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r>
        <w:rPr>
          <w:rFonts w:ascii="Times New Roman" w:hAnsi="Times New Roman" w:eastAsia="Calibri" w:cs="Times New Roman"/>
          <w:bCs/>
          <w:i/>
          <w:iCs/>
          <w:color w:val="000000" w:themeColor="text1"/>
          <w:kern w:val="0"/>
          <w:lang w:val="sr-Cyrl-RS" w:eastAsia="en-GB"/>
          <w14:textFill>
            <w14:solidFill>
              <w14:schemeClr w14:val="tx1"/>
            </w14:solidFill>
          </w14:textFill>
        </w:rPr>
        <w:t>Приоритетни циљеви у области 4:Паметна локална заједница</w:t>
      </w:r>
    </w:p>
    <w:p w14:paraId="0C79BFEC">
      <w:pPr>
        <w:spacing w:before="100" w:beforeAutospacing="1" w:after="100" w:afterAutospacing="1" w:line="240" w:lineRule="auto"/>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254B500D">
      <w:pPr>
        <w:spacing w:after="0" w:line="240" w:lineRule="auto"/>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4.1: Одрживо урбано планирање и квалитетно уређење јавног простора</w:t>
      </w:r>
    </w:p>
    <w:p w14:paraId="28512031">
      <w:pPr>
        <w:pStyle w:val="39"/>
        <w:numPr>
          <w:ilvl w:val="0"/>
          <w:numId w:val="27"/>
        </w:numPr>
        <w:spacing w:after="0" w:line="240" w:lineRule="auto"/>
        <w:contextualSpacing w:val="0"/>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4.1.1 Унапређење система микромобилности и паметних решења за кретање и боравак у јавном простору</w:t>
      </w:r>
    </w:p>
    <w:p w14:paraId="62CFD9F1">
      <w:p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06C74C01">
      <w:pPr>
        <w:spacing w:after="0" w:line="240" w:lineRule="auto"/>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4.2: Развој дигиталне инфраструктуре и паметних решења у јавном простору</w:t>
      </w:r>
    </w:p>
    <w:p w14:paraId="26BB802E">
      <w:pPr>
        <w:pStyle w:val="39"/>
        <w:numPr>
          <w:ilvl w:val="0"/>
          <w:numId w:val="27"/>
        </w:numPr>
        <w:spacing w:after="0" w:line="240" w:lineRule="auto"/>
        <w:contextualSpacing w:val="0"/>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4.2.1 Континуирано унапређење паметне јавне расвете</w:t>
      </w:r>
    </w:p>
    <w:p w14:paraId="7D11BCD9">
      <w:pPr>
        <w:pStyle w:val="39"/>
        <w:spacing w:after="0" w:line="240" w:lineRule="auto"/>
        <w:contextualSpacing w:val="0"/>
        <w:rPr>
          <w:rFonts w:ascii="Times New Roman" w:hAnsi="Times New Roman" w:eastAsia="Times New Roman" w:cs="Times New Roman"/>
          <w:color w:val="000000" w:themeColor="text1"/>
          <w:kern w:val="0"/>
          <w:sz w:val="22"/>
          <w:lang w:val="sr-Cyrl-RS" w:eastAsia="en-GB"/>
          <w14:textFill>
            <w14:solidFill>
              <w14:schemeClr w14:val="tx1"/>
            </w14:solidFill>
          </w14:textFill>
        </w:rPr>
      </w:pPr>
    </w:p>
    <w:p w14:paraId="7A342DB4">
      <w:pPr>
        <w:pStyle w:val="39"/>
        <w:spacing w:after="0" w:line="240" w:lineRule="auto"/>
        <w:contextualSpacing w:val="0"/>
        <w:rPr>
          <w:rFonts w:ascii="Times New Roman" w:hAnsi="Times New Roman" w:eastAsia="Times New Roman" w:cs="Times New Roman"/>
          <w:color w:val="000000" w:themeColor="text1"/>
          <w:kern w:val="0"/>
          <w:sz w:val="22"/>
          <w:lang w:val="sr-Cyrl-RS" w:eastAsia="en-GB"/>
          <w14:textFill>
            <w14:solidFill>
              <w14:schemeClr w14:val="tx1"/>
            </w14:solidFill>
          </w14:textFill>
        </w:rPr>
      </w:pPr>
    </w:p>
    <w:p w14:paraId="552DEBF3">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p>
    <w:p w14:paraId="33AFD1D7">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p>
    <w:p w14:paraId="6833CBFD">
      <w:pPr>
        <w:spacing w:after="0" w:line="240" w:lineRule="auto"/>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pPr>
      <w:r>
        <w:rPr>
          <w:rFonts w:ascii="Times New Roman" w:hAnsi="Times New Roman" w:eastAsia="Calibri" w:cs="Times New Roman"/>
          <w:b/>
          <w:color w:val="000000" w:themeColor="text1"/>
          <w:kern w:val="0"/>
          <w:sz w:val="28"/>
          <w:szCs w:val="22"/>
          <w:lang w:val="sr-Cyrl-RS" w:eastAsia="en-GB"/>
          <w14:textFill>
            <w14:solidFill>
              <w14:schemeClr w14:val="tx1"/>
            </w14:solidFill>
          </w14:textFill>
        </w:rPr>
        <w:t>Приоритетна област 5: Паметно живљење</w:t>
      </w:r>
    </w:p>
    <w:p w14:paraId="262596AF">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r>
        <w:rPr>
          <w:rFonts w:ascii="Times New Roman" w:hAnsi="Times New Roman" w:eastAsia="Calibri" w:cs="Times New Roman"/>
          <w:color w:val="000000" w:themeColor="text1"/>
          <w:kern w:val="0"/>
          <w:lang w:val="sr-Cyrl-RS" w:eastAsia="en-GB"/>
          <w14:textFill>
            <w14:solidFill>
              <w14:schemeClr w14:val="tx1"/>
            </w14:solidFill>
          </w14:textFill>
        </w:rPr>
        <w:t>Паметно живљење представља једну од кључних области дигиталне трансформације, усмерену на повећање квалитета живота грађана кроз примену иновативних и одрживих решења. Ова област обухвата образовање, здравље, културу, спорт и приступачне јавне услуге, са циљем да се створи окружење у коме технологија доприноси социјалној кохезији, здравим стиловима живота и једнаким могућностима за све.</w:t>
      </w:r>
    </w:p>
    <w:p w14:paraId="0B126F06">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p>
    <w:p w14:paraId="5D39FC8A">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r>
        <w:rPr>
          <w:rFonts w:ascii="Times New Roman" w:hAnsi="Times New Roman" w:eastAsia="Calibri" w:cs="Times New Roman"/>
          <w:color w:val="000000" w:themeColor="text1"/>
          <w:kern w:val="0"/>
          <w:lang w:val="sr-Cyrl-RS" w:eastAsia="en-GB"/>
          <w14:textFill>
            <w14:solidFill>
              <w14:schemeClr w14:val="tx1"/>
            </w14:solidFill>
          </w14:textFill>
        </w:rPr>
        <w:t>Паметно живљење подразумева развој паметних образовних програма који омогућавају бољи избор каријере, стручно усавршавање и целоживотно учење, као и унапређење здравствене заштите кроз дигиталне услуге и превентивне програме. Посебан акценат ставља се на приступачност и инклузивност јавних услуга, како би сви грађани имали једнак приступ ресурсима и садржајима. Дигитална трансформација у области културе и спорта доприноси развоју нових модела учешћа, промоцији здравих навика и стварању динамичног и отвореног градског живота.</w:t>
      </w:r>
    </w:p>
    <w:p w14:paraId="149A1F4A">
      <w:pPr>
        <w:spacing w:after="0" w:line="240" w:lineRule="auto"/>
        <w:jc w:val="both"/>
        <w:rPr>
          <w:rFonts w:ascii="Times New Roman" w:hAnsi="Times New Roman" w:eastAsia="Calibri" w:cs="Times New Roman"/>
          <w:color w:val="000000" w:themeColor="text1"/>
          <w:kern w:val="0"/>
          <w:lang w:val="sr-Cyrl-RS" w:eastAsia="en-GB"/>
          <w14:textFill>
            <w14:solidFill>
              <w14:schemeClr w14:val="tx1"/>
            </w14:solidFill>
          </w14:textFill>
        </w:rPr>
      </w:pPr>
    </w:p>
    <w:p w14:paraId="77AF1599">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r>
        <w:rPr>
          <w:rFonts w:ascii="Times New Roman" w:hAnsi="Times New Roman" w:eastAsia="Calibri" w:cs="Times New Roman"/>
          <w:bCs/>
          <w:i/>
          <w:iCs/>
          <w:color w:val="000000" w:themeColor="text1"/>
          <w:kern w:val="0"/>
          <w:lang w:val="sr-Cyrl-RS" w:eastAsia="en-GB"/>
          <w14:textFill>
            <w14:solidFill>
              <w14:schemeClr w14:val="tx1"/>
            </w14:solidFill>
          </w14:textFill>
        </w:rPr>
        <w:t>Приоритетни циљеви у области 5: Паметно живљење</w:t>
      </w:r>
    </w:p>
    <w:p w14:paraId="66520D04">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p>
    <w:p w14:paraId="12DC85DF">
      <w:pPr>
        <w:spacing w:after="0" w:line="240" w:lineRule="auto"/>
        <w:rPr>
          <w:rFonts w:ascii="Times New Roman" w:hAnsi="Times New Roman" w:eastAsia="Calibri" w:cs="Times New Roman"/>
          <w:b/>
          <w:bCs/>
          <w:color w:val="000000" w:themeColor="text1"/>
          <w:kern w:val="0"/>
          <w:lang w:val="sr-Cyrl-RS" w:eastAsia="en-GB"/>
          <w14:textFill>
            <w14:solidFill>
              <w14:schemeClr w14:val="tx1"/>
            </w14:solidFill>
          </w14:textFill>
        </w:rPr>
      </w:pPr>
      <w:r>
        <w:rPr>
          <w:rFonts w:ascii="Times New Roman" w:hAnsi="Times New Roman" w:eastAsia="Calibri" w:cs="Times New Roman"/>
          <w:b/>
          <w:bCs/>
          <w:color w:val="000000" w:themeColor="text1"/>
          <w:kern w:val="0"/>
          <w:lang w:val="sr-Cyrl-RS" w:eastAsia="en-GB"/>
          <w14:textFill>
            <w14:solidFill>
              <w14:schemeClr w14:val="tx1"/>
            </w14:solidFill>
          </w14:textFill>
        </w:rPr>
        <w:t>Приоритетни циљ 5.1: Паметна решења у области образовања</w:t>
      </w:r>
    </w:p>
    <w:p w14:paraId="3A7CA739">
      <w:pPr>
        <w:pStyle w:val="39"/>
        <w:numPr>
          <w:ilvl w:val="0"/>
          <w:numId w:val="28"/>
        </w:numPr>
        <w:spacing w:after="0" w:line="240" w:lineRule="auto"/>
        <w:rPr>
          <w:rFonts w:ascii="Times New Roman" w:hAnsi="Times New Roman" w:eastAsia="Calibri" w:cs="Times New Roman"/>
          <w:bCs/>
          <w:color w:val="000000" w:themeColor="text1"/>
          <w:kern w:val="0"/>
          <w:lang w:val="sr-Cyrl-RS" w:eastAsia="en-GB"/>
          <w14:textFill>
            <w14:solidFill>
              <w14:schemeClr w14:val="tx1"/>
            </w14:solidFill>
          </w14:textFill>
        </w:rPr>
      </w:pPr>
      <w:r>
        <w:rPr>
          <w:rFonts w:ascii="Times New Roman" w:hAnsi="Times New Roman" w:eastAsia="Calibri" w:cs="Times New Roman"/>
          <w:bCs/>
          <w:color w:val="000000" w:themeColor="text1"/>
          <w:kern w:val="0"/>
          <w:lang w:val="sr-Cyrl-RS" w:eastAsia="en-GB"/>
          <w14:textFill>
            <w14:solidFill>
              <w14:schemeClr w14:val="tx1"/>
            </w14:solidFill>
          </w14:textFill>
        </w:rPr>
        <w:t>Мера 5.1.1 Развој дигиталног образовног окружења и унапређење примене паметних технологија у образовању</w:t>
      </w:r>
    </w:p>
    <w:p w14:paraId="7CAF2139">
      <w:pPr>
        <w:pStyle w:val="39"/>
        <w:spacing w:after="0" w:line="240" w:lineRule="auto"/>
        <w:rPr>
          <w:rFonts w:ascii="Times New Roman" w:hAnsi="Times New Roman" w:eastAsia="Calibri" w:cs="Times New Roman"/>
          <w:bCs/>
          <w:color w:val="000000" w:themeColor="text1"/>
          <w:kern w:val="0"/>
          <w:lang w:val="sr-Cyrl-RS" w:eastAsia="en-GB"/>
          <w14:textFill>
            <w14:solidFill>
              <w14:schemeClr w14:val="tx1"/>
            </w14:solidFill>
          </w14:textFill>
        </w:rPr>
      </w:pPr>
    </w:p>
    <w:p w14:paraId="5B27F77E">
      <w:pPr>
        <w:spacing w:after="0" w:line="240" w:lineRule="auto"/>
        <w:rPr>
          <w:rFonts w:ascii="Times New Roman" w:hAnsi="Times New Roman" w:eastAsia="Calibri" w:cs="Times New Roman"/>
          <w:b/>
          <w:bCs/>
          <w:color w:val="000000" w:themeColor="text1"/>
          <w:kern w:val="0"/>
          <w:lang w:val="sr-Cyrl-RS" w:eastAsia="en-GB"/>
          <w14:textFill>
            <w14:solidFill>
              <w14:schemeClr w14:val="tx1"/>
            </w14:solidFill>
          </w14:textFill>
        </w:rPr>
      </w:pPr>
      <w:r>
        <w:rPr>
          <w:rFonts w:ascii="Times New Roman" w:hAnsi="Times New Roman" w:eastAsia="Calibri" w:cs="Times New Roman"/>
          <w:b/>
          <w:bCs/>
          <w:color w:val="000000" w:themeColor="text1"/>
          <w:kern w:val="0"/>
          <w:lang w:val="sr-Cyrl-RS" w:eastAsia="en-GB"/>
          <w14:textFill>
            <w14:solidFill>
              <w14:schemeClr w14:val="tx1"/>
            </w14:solidFill>
          </w14:textFill>
        </w:rPr>
        <w:t>Приоритетни циљ 5.2: Паметна решења у области здравља и здравствене заштите</w:t>
      </w:r>
    </w:p>
    <w:p w14:paraId="274E890C">
      <w:pPr>
        <w:pStyle w:val="39"/>
        <w:numPr>
          <w:ilvl w:val="0"/>
          <w:numId w:val="29"/>
        </w:numPr>
        <w:spacing w:after="0" w:line="240" w:lineRule="auto"/>
        <w:rPr>
          <w:rFonts w:ascii="Times New Roman" w:hAnsi="Times New Roman" w:eastAsia="Calibri" w:cs="Times New Roman"/>
          <w:bCs/>
          <w:color w:val="000000" w:themeColor="text1"/>
          <w:kern w:val="0"/>
          <w:lang w:val="sr-Cyrl-RS" w:eastAsia="en-GB"/>
          <w14:textFill>
            <w14:solidFill>
              <w14:schemeClr w14:val="tx1"/>
            </w14:solidFill>
          </w14:textFill>
        </w:rPr>
      </w:pPr>
      <w:r>
        <w:rPr>
          <w:rFonts w:ascii="Times New Roman" w:hAnsi="Times New Roman" w:eastAsia="Calibri" w:cs="Times New Roman"/>
          <w:bCs/>
          <w:color w:val="000000" w:themeColor="text1"/>
          <w:kern w:val="0"/>
          <w:lang w:val="sr-Cyrl-RS" w:eastAsia="en-GB"/>
          <w14:textFill>
            <w14:solidFill>
              <w14:schemeClr w14:val="tx1"/>
            </w14:solidFill>
          </w14:textFill>
        </w:rPr>
        <w:t>Мера 5.2.1 Електронско заказивање прегледа за све пацијенте, у домовима здравља уопште (нарочито за бебе, децу предшколског узраста и старије становништво)</w:t>
      </w:r>
    </w:p>
    <w:p w14:paraId="0AEC56E5">
      <w:pPr>
        <w:spacing w:after="0" w:line="240" w:lineRule="auto"/>
        <w:rPr>
          <w:rFonts w:ascii="Times New Roman" w:hAnsi="Times New Roman" w:eastAsia="Calibri" w:cs="Times New Roman"/>
          <w:bCs/>
          <w:color w:val="000000" w:themeColor="text1"/>
          <w:kern w:val="0"/>
          <w:lang w:val="sr-Cyrl-RS" w:eastAsia="en-GB"/>
          <w14:textFill>
            <w14:solidFill>
              <w14:schemeClr w14:val="tx1"/>
            </w14:solidFill>
          </w14:textFill>
        </w:rPr>
      </w:pPr>
    </w:p>
    <w:p w14:paraId="27CE5840">
      <w:pPr>
        <w:spacing w:after="0" w:line="240" w:lineRule="auto"/>
        <w:rPr>
          <w:rFonts w:ascii="Times New Roman" w:hAnsi="Times New Roman" w:eastAsia="Calibri" w:cs="Times New Roman"/>
          <w:b/>
          <w:color w:val="000000" w:themeColor="text1"/>
          <w:kern w:val="0"/>
          <w:lang w:val="sr-Cyrl-RS" w:eastAsia="en-GB"/>
          <w14:textFill>
            <w14:solidFill>
              <w14:schemeClr w14:val="tx1"/>
            </w14:solidFill>
          </w14:textFill>
        </w:rPr>
      </w:pPr>
      <w:r>
        <w:rPr>
          <w:rFonts w:ascii="Times New Roman" w:hAnsi="Times New Roman" w:eastAsia="Calibri" w:cs="Times New Roman"/>
          <w:b/>
          <w:color w:val="000000" w:themeColor="text1"/>
          <w:kern w:val="0"/>
          <w:lang w:val="sr-Cyrl-RS" w:eastAsia="en-GB"/>
          <w14:textFill>
            <w14:solidFill>
              <w14:schemeClr w14:val="tx1"/>
            </w14:solidFill>
          </w14:textFill>
        </w:rPr>
        <w:t>Приоритетни циљ 5.3 Дигитална трансформација у области културе и спорта</w:t>
      </w:r>
    </w:p>
    <w:p w14:paraId="321C468C">
      <w:pPr>
        <w:pStyle w:val="39"/>
        <w:numPr>
          <w:ilvl w:val="0"/>
          <w:numId w:val="30"/>
        </w:numPr>
        <w:tabs>
          <w:tab w:val="right" w:pos="9026"/>
        </w:tabs>
        <w:spacing w:after="0" w:line="240" w:lineRule="auto"/>
        <w:rPr>
          <w:rFonts w:ascii="Times New Roman" w:hAnsi="Times New Roman" w:eastAsia="Times New Roman" w:cs="Times New Roman"/>
          <w:b/>
          <w:bCs/>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5.3.1 Дигитално управљање спортским објектима (успостављање базе података свих спортских објеката, дигитално резервисање спортског простора, дигитални календар спортских догађаја, итд.)</w:t>
      </w:r>
    </w:p>
    <w:p w14:paraId="0600F5BD">
      <w:pPr>
        <w:pStyle w:val="39"/>
        <w:numPr>
          <w:ilvl w:val="0"/>
          <w:numId w:val="30"/>
        </w:numPr>
        <w:tabs>
          <w:tab w:val="right" w:pos="9026"/>
        </w:tabs>
        <w:spacing w:after="0" w:line="240" w:lineRule="auto"/>
        <w:rPr>
          <w:rFonts w:ascii="Times New Roman" w:hAnsi="Times New Roman" w:eastAsia="Times New Roman" w:cs="Times New Roman"/>
          <w:b/>
          <w:bCs/>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5.3.2 Дигитално управљање објектима културе (успостављање базе података свих објеката културе, дигитално резервисање сала и другог простора, дигитални календар културних догађаја и билетарница, итд.)</w:t>
      </w:r>
    </w:p>
    <w:p w14:paraId="24F701DC">
      <w:pPr>
        <w:tabs>
          <w:tab w:val="right" w:pos="9026"/>
        </w:tabs>
        <w:spacing w:before="100" w:beforeAutospacing="1" w:after="100" w:afterAutospacing="1" w:line="240" w:lineRule="auto"/>
        <w:contextualSpacing/>
        <w:rPr>
          <w:rFonts w:ascii="Times New Roman" w:hAnsi="Times New Roman" w:eastAsia="Times New Roman" w:cs="Times New Roman"/>
          <w:b/>
          <w:bCs/>
          <w:color w:val="000000" w:themeColor="text1"/>
          <w:kern w:val="0"/>
          <w:sz w:val="28"/>
          <w:lang w:val="sr-Cyrl-RS" w:eastAsia="en-GB"/>
          <w14:textFill>
            <w14:solidFill>
              <w14:schemeClr w14:val="tx1"/>
            </w14:solidFill>
          </w14:textFill>
        </w:rPr>
      </w:pPr>
    </w:p>
    <w:p w14:paraId="6E155B56">
      <w:pPr>
        <w:tabs>
          <w:tab w:val="right" w:pos="9026"/>
        </w:tabs>
        <w:spacing w:before="100" w:beforeAutospacing="1" w:after="100" w:afterAutospacing="1" w:line="240" w:lineRule="auto"/>
        <w:contextualSpacing/>
        <w:rPr>
          <w:rFonts w:ascii="Times New Roman" w:hAnsi="Times New Roman" w:eastAsia="Times New Roman" w:cs="Times New Roman"/>
          <w:b/>
          <w:bCs/>
          <w:color w:val="000000" w:themeColor="text1"/>
          <w:kern w:val="0"/>
          <w:sz w:val="28"/>
          <w:lang w:val="sr-Cyrl-RS" w:eastAsia="en-GB"/>
          <w14:textFill>
            <w14:solidFill>
              <w14:schemeClr w14:val="tx1"/>
            </w14:solidFill>
          </w14:textFill>
        </w:rPr>
      </w:pPr>
      <w:r>
        <w:rPr>
          <w:rFonts w:ascii="Times New Roman" w:hAnsi="Times New Roman" w:eastAsia="Times New Roman" w:cs="Times New Roman"/>
          <w:b/>
          <w:bCs/>
          <w:color w:val="000000" w:themeColor="text1"/>
          <w:kern w:val="0"/>
          <w:sz w:val="28"/>
          <w:lang w:val="sr-Cyrl-RS" w:eastAsia="en-GB"/>
          <w14:textFill>
            <w14:solidFill>
              <w14:schemeClr w14:val="tx1"/>
            </w14:solidFill>
          </w14:textFill>
        </w:rPr>
        <w:t>Приоритетна област 6: Паметна управа и е-управљање</w:t>
      </w:r>
    </w:p>
    <w:p w14:paraId="445DD394">
      <w:pPr>
        <w:tabs>
          <w:tab w:val="right" w:pos="9026"/>
        </w:tabs>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Паметна управа и е</w:t>
      </w:r>
      <w:r>
        <w:rPr>
          <w:rFonts w:ascii="Times New Roman" w:hAnsi="Times New Roman" w:eastAsia="Times New Roman" w:cs="Times New Roman"/>
          <w:color w:val="000000" w:themeColor="text1"/>
          <w:kern w:val="0"/>
          <w:lang w:val="sr-Cyrl-RS" w:eastAsia="en-GB"/>
          <w14:textFill>
            <w14:solidFill>
              <w14:schemeClr w14:val="tx1"/>
            </w14:solidFill>
          </w14:textFill>
        </w:rPr>
        <w:noBreakHyphen/>
      </w:r>
      <w:r>
        <w:rPr>
          <w:rFonts w:ascii="Times New Roman" w:hAnsi="Times New Roman" w:eastAsia="Times New Roman" w:cs="Times New Roman"/>
          <w:color w:val="000000" w:themeColor="text1"/>
          <w:kern w:val="0"/>
          <w:lang w:val="sr-Cyrl-RS" w:eastAsia="en-GB"/>
          <w14:textFill>
            <w14:solidFill>
              <w14:schemeClr w14:val="tx1"/>
            </w14:solidFill>
          </w14:textFill>
        </w:rPr>
        <w:t>управљање представљају темељ дигиталне трансформације локалне самоуправе, усмерене на ефикасно, транспарентно и инклузивно пружање услуга грађанима и привреди. Циљ је да се кроз дигиталне алате и паметна решења обезбеди боља доступност информација, бржа комуникација и веће учешће грађана у процесима одлучивања. Ова област доприноси изградњи отворене управе која се заснива на подацима, иновацијама и принципима одговорности.</w:t>
      </w:r>
    </w:p>
    <w:p w14:paraId="5E8A9D5F">
      <w:pPr>
        <w:tabs>
          <w:tab w:val="right" w:pos="9026"/>
        </w:tabs>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06C41FBB">
      <w:pPr>
        <w:tabs>
          <w:tab w:val="right" w:pos="9026"/>
        </w:tabs>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Паметна управа подразумева развој е</w:t>
      </w:r>
      <w:r>
        <w:rPr>
          <w:rFonts w:ascii="Times New Roman" w:hAnsi="Times New Roman" w:eastAsia="Times New Roman" w:cs="Times New Roman"/>
          <w:color w:val="000000" w:themeColor="text1"/>
          <w:kern w:val="0"/>
          <w:lang w:val="sr-Cyrl-RS" w:eastAsia="en-GB"/>
          <w14:textFill>
            <w14:solidFill>
              <w14:schemeClr w14:val="tx1"/>
            </w14:solidFill>
          </w14:textFill>
        </w:rPr>
        <w:noBreakHyphen/>
      </w:r>
      <w:r>
        <w:rPr>
          <w:rFonts w:ascii="Times New Roman" w:hAnsi="Times New Roman" w:eastAsia="Times New Roman" w:cs="Times New Roman"/>
          <w:color w:val="000000" w:themeColor="text1"/>
          <w:kern w:val="0"/>
          <w:lang w:val="sr-Cyrl-RS" w:eastAsia="en-GB"/>
          <w14:textFill>
            <w14:solidFill>
              <w14:schemeClr w14:val="tx1"/>
            </w14:solidFill>
          </w14:textFill>
        </w:rPr>
        <w:t>услуга које су једноставне за коришћење, приступачне свим друштвеним групама и усклађене са највишим стандардима информационе и сајбер безбедности. Интегрисано управљање и интероперабилност различитих информационих система омогућавају ефикасну размену података и доношење одлука заснованих на доказима. Поред тога, промоција дигиталне трансформације и паметних решења у градској управи, јавним предузећима и установама доприноси модернизацији локалне заједнице и стварању услова за одрживи развој.</w:t>
      </w:r>
    </w:p>
    <w:p w14:paraId="2D01F0B9">
      <w:pPr>
        <w:tabs>
          <w:tab w:val="right" w:pos="9026"/>
        </w:tabs>
        <w:spacing w:before="100" w:beforeAutospacing="1" w:after="100" w:afterAutospacing="1" w:line="240" w:lineRule="auto"/>
        <w:contextualSpacing/>
        <w:jc w:val="both"/>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3E7CADFE">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r>
        <w:rPr>
          <w:rFonts w:ascii="Times New Roman" w:hAnsi="Times New Roman" w:eastAsia="Calibri" w:cs="Times New Roman"/>
          <w:bCs/>
          <w:i/>
          <w:iCs/>
          <w:color w:val="000000" w:themeColor="text1"/>
          <w:kern w:val="0"/>
          <w:lang w:val="sr-Cyrl-RS" w:eastAsia="en-GB"/>
          <w14:textFill>
            <w14:solidFill>
              <w14:schemeClr w14:val="tx1"/>
            </w14:solidFill>
          </w14:textFill>
        </w:rPr>
        <w:t>Приоритетни циљеви у области 6: Паметна управа и еУправљање</w:t>
      </w:r>
    </w:p>
    <w:p w14:paraId="4947BDE4">
      <w:pPr>
        <w:spacing w:after="0" w:line="240" w:lineRule="auto"/>
        <w:rPr>
          <w:rFonts w:ascii="Times New Roman" w:hAnsi="Times New Roman" w:eastAsia="Calibri" w:cs="Times New Roman"/>
          <w:bCs/>
          <w:i/>
          <w:iCs/>
          <w:color w:val="000000" w:themeColor="text1"/>
          <w:kern w:val="0"/>
          <w:lang w:val="sr-Cyrl-RS" w:eastAsia="en-GB"/>
          <w14:textFill>
            <w14:solidFill>
              <w14:schemeClr w14:val="tx1"/>
            </w14:solidFill>
          </w14:textFill>
        </w:rPr>
      </w:pPr>
    </w:p>
    <w:p w14:paraId="502BB95F">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Приоритетни циљ 6.1: Ефикасне и транспарентне е-услуге за грађане и привреду</w:t>
      </w:r>
    </w:p>
    <w:p w14:paraId="38735205">
      <w:pPr>
        <w:pStyle w:val="39"/>
        <w:numPr>
          <w:ilvl w:val="0"/>
          <w:numId w:val="31"/>
        </w:numPr>
        <w:spacing w:after="0"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6.1.1 Унапређење капацитета запослених за рад у окружењу еУправе</w:t>
      </w:r>
    </w:p>
    <w:p w14:paraId="3B1E61DC">
      <w:pPr>
        <w:pStyle w:val="39"/>
        <w:numPr>
          <w:ilvl w:val="0"/>
          <w:numId w:val="31"/>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6.1.2 Допуна правног оквира – усвајање неопходних интерних аката</w:t>
      </w:r>
    </w:p>
    <w:p w14:paraId="179CF8CF">
      <w:pPr>
        <w:pStyle w:val="39"/>
        <w:numPr>
          <w:ilvl w:val="0"/>
          <w:numId w:val="31"/>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6.1.3 Унапређење организације и систематизације радних места за потребе еУправе (допуна описа послова тако да садрже ставке које се односе на еУправу, управљање смарт решењима, отварање података)</w:t>
      </w:r>
    </w:p>
    <w:p w14:paraId="7C01E667">
      <w:pPr>
        <w:pStyle w:val="39"/>
        <w:numPr>
          <w:ilvl w:val="0"/>
          <w:numId w:val="31"/>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6.1.4 Успостављање централне аналитичке јединице (Smart City Office). Формирање аналитичког тима задуженог за обраду података, израду извештаја и подршку доносиоцима одлука. </w:t>
      </w:r>
    </w:p>
    <w:p w14:paraId="08281200">
      <w:pPr>
        <w:pStyle w:val="39"/>
        <w:numPr>
          <w:ilvl w:val="0"/>
          <w:numId w:val="32"/>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6.1.5 Унапређење ИКТ безбедности и интероперабилности система</w:t>
      </w:r>
    </w:p>
    <w:p w14:paraId="044751DC">
      <w:pPr>
        <w:pStyle w:val="39"/>
        <w:numPr>
          <w:ilvl w:val="0"/>
          <w:numId w:val="32"/>
        </w:numPr>
        <w:spacing w:before="100" w:beforeAutospacing="1" w:after="100" w:afterAutospacing="1" w:line="240" w:lineRule="auto"/>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 xml:space="preserve">Мера 6.1.6 Смањење правних ризика код јавних набавки и управљања уговорима о информационим системима и паметним решењима </w:t>
      </w:r>
    </w:p>
    <w:p w14:paraId="34FD65ED">
      <w:pPr>
        <w:spacing w:after="0" w:line="240" w:lineRule="auto"/>
        <w:contextualSpacing/>
        <w:rPr>
          <w:rFonts w:ascii="Times New Roman" w:hAnsi="Times New Roman" w:eastAsia="Times New Roman" w:cs="Times New Roman"/>
          <w:b/>
          <w:color w:val="000000" w:themeColor="text1"/>
          <w:kern w:val="0"/>
          <w:lang w:val="sr-Cyrl-RS" w:eastAsia="en-GB"/>
          <w14:textFill>
            <w14:solidFill>
              <w14:schemeClr w14:val="tx1"/>
            </w14:solidFill>
          </w14:textFill>
        </w:rPr>
      </w:pPr>
      <w:r>
        <w:rPr>
          <w:rFonts w:ascii="Times New Roman" w:hAnsi="Times New Roman" w:eastAsia="Times New Roman" w:cs="Times New Roman"/>
          <w:b/>
          <w:color w:val="000000" w:themeColor="text1"/>
          <w:kern w:val="0"/>
          <w:lang w:val="sr-Cyrl-RS" w:eastAsia="en-GB"/>
          <w14:textFill>
            <w14:solidFill>
              <w14:schemeClr w14:val="tx1"/>
            </w14:solidFill>
          </w14:textFill>
        </w:rPr>
        <w:t xml:space="preserve">Приоритетни циљ 6.2: Информисање, комуникација са грађанима и едукација у циљу унапређења дигиталне писмености </w:t>
      </w:r>
    </w:p>
    <w:p w14:paraId="783BF622">
      <w:pPr>
        <w:numPr>
          <w:ilvl w:val="0"/>
          <w:numId w:val="33"/>
        </w:numPr>
        <w:spacing w:after="0" w:line="240" w:lineRule="auto"/>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6.2.1 Израда плана комуникације (информативне, консултативне и промотивне активности у циљу унапређења еУправе и паметног управљања Градом)</w:t>
      </w:r>
    </w:p>
    <w:p w14:paraId="2F5E69AB">
      <w:pPr>
        <w:numPr>
          <w:ilvl w:val="0"/>
          <w:numId w:val="33"/>
        </w:numPr>
        <w:spacing w:before="100" w:beforeAutospacing="1" w:after="100" w:afterAutospacing="1" w:line="240" w:lineRule="auto"/>
        <w:contextualSpacing/>
        <w:rPr>
          <w:rFonts w:ascii="Times New Roman" w:hAnsi="Times New Roman" w:eastAsia="Times New Roman" w:cs="Times New Roman"/>
          <w:b/>
          <w:bCs/>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6.2.2 Израда нове званичне веб презентације града Пирота и у оквиру ње веб странице за промоцију е-управе и Smart City концепта</w:t>
      </w:r>
    </w:p>
    <w:p w14:paraId="54088D93">
      <w:pPr>
        <w:numPr>
          <w:ilvl w:val="0"/>
          <w:numId w:val="33"/>
        </w:numPr>
        <w:spacing w:before="100" w:beforeAutospacing="1" w:after="100" w:afterAutospacing="1" w:line="240" w:lineRule="auto"/>
        <w:contextualSpacing/>
        <w:rPr>
          <w:rFonts w:ascii="Times New Roman" w:hAnsi="Times New Roman" w:eastAsia="Times New Roman" w:cs="Times New Roman"/>
          <w:b/>
          <w:bCs/>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6.2.3 Медијска кампања о предностима еУправе (на ТВ, преко друштвених мрежа, веб презентације, у општинском услужном центру</w:t>
      </w:r>
    </w:p>
    <w:p w14:paraId="0F8B2733">
      <w:pPr>
        <w:numPr>
          <w:ilvl w:val="0"/>
          <w:numId w:val="33"/>
        </w:numPr>
        <w:spacing w:before="100" w:beforeAutospacing="1" w:after="100" w:afterAutospacing="1" w:line="240" w:lineRule="auto"/>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r>
        <w:rPr>
          <w:rFonts w:ascii="Times New Roman" w:hAnsi="Times New Roman" w:eastAsia="Times New Roman" w:cs="Times New Roman"/>
          <w:color w:val="000000" w:themeColor="text1"/>
          <w:kern w:val="0"/>
          <w:lang w:val="sr-Cyrl-RS" w:eastAsia="en-GB"/>
          <w14:textFill>
            <w14:solidFill>
              <w14:schemeClr w14:val="tx1"/>
            </w14:solidFill>
          </w14:textFill>
        </w:rPr>
        <w:t>Мера 6.2.4 Успостављање и вођење база података у машински читљивом формату, редовно и ажурно постављање сетова података спремних за даљу употребу на Порталу отворених података</w:t>
      </w:r>
    </w:p>
    <w:p w14:paraId="1A880D7F">
      <w:pPr>
        <w:numPr>
          <w:ilvl w:val="0"/>
          <w:numId w:val="33"/>
        </w:numPr>
        <w:spacing w:before="100" w:beforeAutospacing="1" w:after="100" w:afterAutospacing="1" w:line="240" w:lineRule="auto"/>
        <w:contextualSpacing/>
        <w:rPr>
          <w:rFonts w:ascii="Times New Roman" w:hAnsi="Times New Roman" w:eastAsia="Times New Roman" w:cs="Times New Roman"/>
          <w:bCs/>
          <w:color w:val="000000" w:themeColor="text1"/>
          <w:kern w:val="0"/>
          <w:lang w:val="sr-Cyrl-RS" w:eastAsia="en-GB"/>
          <w14:textFill>
            <w14:solidFill>
              <w14:schemeClr w14:val="tx1"/>
            </w14:solidFill>
          </w14:textFill>
        </w:rPr>
      </w:pPr>
      <w:r>
        <w:rPr>
          <w:rFonts w:ascii="Times New Roman" w:hAnsi="Times New Roman" w:eastAsia="Times New Roman" w:cs="Times New Roman"/>
          <w:bCs/>
          <w:color w:val="000000" w:themeColor="text1"/>
          <w:kern w:val="0"/>
          <w:lang w:val="sr-Cyrl-RS" w:eastAsia="en-GB"/>
          <w14:textFill>
            <w14:solidFill>
              <w14:schemeClr w14:val="tx1"/>
            </w14:solidFill>
          </w14:textFill>
        </w:rPr>
        <w:t xml:space="preserve">Мера 6.2.5 Дигитално описмењавање свих категорија друштва </w:t>
      </w:r>
    </w:p>
    <w:p w14:paraId="1B4FE1EE">
      <w:pPr>
        <w:spacing w:before="100" w:beforeAutospacing="1" w:after="100" w:afterAutospacing="1" w:line="240" w:lineRule="auto"/>
        <w:ind w:left="360"/>
        <w:contextualSpacing/>
        <w:rPr>
          <w:rFonts w:ascii="Times New Roman" w:hAnsi="Times New Roman" w:eastAsia="Times New Roman" w:cs="Times New Roman"/>
          <w:color w:val="000000" w:themeColor="text1"/>
          <w:kern w:val="0"/>
          <w:lang w:val="sr-Cyrl-RS" w:eastAsia="en-GB"/>
          <w14:textFill>
            <w14:solidFill>
              <w14:schemeClr w14:val="tx1"/>
            </w14:solidFill>
          </w14:textFill>
        </w:rPr>
      </w:pPr>
    </w:p>
    <w:p w14:paraId="480009D2">
      <w:pPr>
        <w:rPr>
          <w:rFonts w:ascii="Aptos" w:hAnsi="Aptos" w:eastAsia="Aptos" w:cs="Times New Roman"/>
          <w:color w:val="000000" w:themeColor="text1"/>
          <w:lang w:val="sr-Cyrl-RS"/>
          <w14:textFill>
            <w14:solidFill>
              <w14:schemeClr w14:val="tx1"/>
            </w14:solidFill>
          </w14:textFill>
        </w:rPr>
      </w:pPr>
      <w:r>
        <w:rPr>
          <w:rFonts w:ascii="Aptos" w:hAnsi="Aptos" w:eastAsia="Aptos" w:cs="Times New Roman"/>
          <w:color w:val="000000" w:themeColor="text1"/>
          <w:lang w:val="sr-Cyrl-RS"/>
          <w14:textFill>
            <w14:solidFill>
              <w14:schemeClr w14:val="tx1"/>
            </w14:solidFill>
          </w14:textFill>
        </w:rPr>
        <w:br w:type="page"/>
      </w:r>
    </w:p>
    <w:p w14:paraId="17CC7F86">
      <w:pPr>
        <w:pStyle w:val="2"/>
        <w:tabs>
          <w:tab w:val="left" w:pos="1418"/>
        </w:tabs>
        <w:rPr>
          <w:color w:val="000000" w:themeColor="text1"/>
          <w:lang w:val="sr-Cyrl-RS"/>
          <w14:textFill>
            <w14:solidFill>
              <w14:schemeClr w14:val="tx1"/>
            </w14:solidFill>
          </w14:textFill>
        </w:rPr>
      </w:pPr>
      <w:bookmarkStart w:id="18" w:name="_Toc229061123"/>
      <w:r>
        <w:rPr>
          <w:color w:val="000000" w:themeColor="text1"/>
          <w:lang w:val="sr-Cyrl-RS"/>
          <w14:textFill>
            <w14:solidFill>
              <w14:schemeClr w14:val="tx1"/>
            </w14:solidFill>
          </w14:textFill>
        </w:rPr>
        <w:t>3. Оквир за спровођење Плана дигиталне трансфoрмације и развоја паметног града</w:t>
      </w:r>
      <w:bookmarkEnd w:id="18"/>
    </w:p>
    <w:p w14:paraId="3194C5AC">
      <w:pPr>
        <w:pStyle w:val="3"/>
        <w:tabs>
          <w:tab w:val="left" w:pos="1418"/>
        </w:tabs>
        <w:spacing w:before="0" w:after="0" w:line="240" w:lineRule="auto"/>
        <w:rPr>
          <w:color w:val="000000" w:themeColor="text1"/>
          <w:sz w:val="28"/>
          <w:lang w:val="sr-Cyrl-RS"/>
          <w14:textFill>
            <w14:solidFill>
              <w14:schemeClr w14:val="tx1"/>
            </w14:solidFill>
          </w14:textFill>
        </w:rPr>
      </w:pPr>
      <w:bookmarkStart w:id="19" w:name="_Toc229061124"/>
    </w:p>
    <w:p w14:paraId="1B44F114">
      <w:pPr>
        <w:pStyle w:val="3"/>
        <w:tabs>
          <w:tab w:val="left" w:pos="1418"/>
        </w:tabs>
        <w:spacing w:before="0" w:after="0" w:line="240" w:lineRule="auto"/>
        <w:rPr>
          <w:color w:val="000000" w:themeColor="text1"/>
          <w:lang w:val="sr-Cyrl-RS"/>
          <w14:textFill>
            <w14:solidFill>
              <w14:schemeClr w14:val="tx1"/>
            </w14:solidFill>
          </w14:textFill>
        </w:rPr>
      </w:pPr>
      <w:r>
        <w:rPr>
          <w:color w:val="000000" w:themeColor="text1"/>
          <w:lang w:val="sr-Cyrl-RS"/>
          <w14:textFill>
            <w14:solidFill>
              <w14:schemeClr w14:val="tx1"/>
            </w14:solidFill>
          </w14:textFill>
        </w:rPr>
        <w:t>3.1 Организација процеса, улоге и одговорности</w:t>
      </w:r>
      <w:bookmarkEnd w:id="19"/>
      <w:r>
        <w:rPr>
          <w:color w:val="000000" w:themeColor="text1"/>
          <w:lang w:val="sr-Cyrl-RS"/>
          <w14:textFill>
            <w14:solidFill>
              <w14:schemeClr w14:val="tx1"/>
            </w14:solidFill>
          </w14:textFill>
        </w:rPr>
        <w:t xml:space="preserve"> </w:t>
      </w:r>
    </w:p>
    <w:p w14:paraId="15C944B9">
      <w:pPr>
        <w:spacing w:after="0" w:line="240" w:lineRule="auto"/>
        <w:jc w:val="both"/>
        <w:rPr>
          <w:rFonts w:ascii="Times New Roman" w:hAnsi="Times New Roman" w:eastAsia="Times New Roman" w:cs="Times New Roman"/>
          <w:kern w:val="0"/>
          <w:lang w:val="sr-Cyrl-RS" w:eastAsia="en-GB"/>
        </w:rPr>
      </w:pPr>
    </w:p>
    <w:p w14:paraId="0BCCE4FF">
      <w:pPr>
        <w:spacing w:after="0" w:line="240" w:lineRule="auto"/>
        <w:jc w:val="both"/>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Ефикасна имплементација Плана дигиталне трансформације и развоја паметног града захтева јасно дефинисану организацију процеса, расподелу улога и одговорности, као и успостављање механизама координације и праћења реализације мера и пројеката. Имплементација Плана заснива се на принципима међусекторске сарадње, транспарентности, одговорности и континуираног унапређења услуга за грађане и привреду. Посебан акценат ставља се на координацију активности између органа локалне самоуправе, јавних комуналних предузећа, јавних установа и других релевантних актера.</w:t>
      </w:r>
    </w:p>
    <w:p w14:paraId="4E79BEB6">
      <w:pPr>
        <w:spacing w:after="0" w:line="240" w:lineRule="auto"/>
        <w:jc w:val="both"/>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Организација процеса спровођења Плана обухвата следеће кључне улоге и институционалне механизме:</w:t>
      </w:r>
    </w:p>
    <w:p w14:paraId="16845534">
      <w:pPr>
        <w:pStyle w:val="51"/>
        <w:rPr>
          <w:rFonts w:ascii="Times New Roman" w:hAnsi="Times New Roman" w:cs="Times New Roman"/>
          <w:b/>
          <w:bCs/>
          <w:lang w:val="sr-Cyrl-RS" w:eastAsia="en-GB"/>
        </w:rPr>
      </w:pPr>
    </w:p>
    <w:p w14:paraId="6C5CEA53">
      <w:pPr>
        <w:pStyle w:val="51"/>
        <w:rPr>
          <w:rFonts w:ascii="Times New Roman" w:hAnsi="Times New Roman" w:cs="Times New Roman"/>
          <w:lang w:val="sr-Cyrl-RS" w:eastAsia="en-GB"/>
        </w:rPr>
      </w:pPr>
      <w:r>
        <w:rPr>
          <w:rFonts w:ascii="Times New Roman" w:hAnsi="Times New Roman" w:cs="Times New Roman"/>
          <w:b/>
          <w:bCs/>
          <w:lang w:val="sr-Cyrl-RS" w:eastAsia="en-GB"/>
        </w:rPr>
        <w:t>Носилац имплементације Плана је Градска управа Пирот</w:t>
      </w:r>
      <w:r>
        <w:rPr>
          <w:rFonts w:ascii="Times New Roman" w:hAnsi="Times New Roman" w:cs="Times New Roman"/>
          <w:b/>
          <w:lang w:val="sr-Cyrl-RS" w:eastAsia="en-GB"/>
        </w:rPr>
        <w:t>а</w:t>
      </w:r>
      <w:r>
        <w:rPr>
          <w:rFonts w:ascii="Times New Roman" w:hAnsi="Times New Roman" w:cs="Times New Roman"/>
          <w:lang w:val="sr-Cyrl-RS" w:eastAsia="en-GB"/>
        </w:rPr>
        <w:t>, која је одговорна за укупно управљање процесом дигиталне трансформације и развоја паметног града. Основне одговорности носиоца имплементације обухватају:</w:t>
      </w:r>
    </w:p>
    <w:p w14:paraId="4396591B">
      <w:pPr>
        <w:numPr>
          <w:ilvl w:val="0"/>
          <w:numId w:val="34"/>
        </w:numPr>
        <w:spacing w:after="0"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 xml:space="preserve">координацију спровођења Плана </w:t>
      </w:r>
    </w:p>
    <w:p w14:paraId="79E52A76">
      <w:pPr>
        <w:numPr>
          <w:ilvl w:val="0"/>
          <w:numId w:val="34"/>
        </w:numPr>
        <w:spacing w:after="0"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 xml:space="preserve">обезбеђивање институционалне и финансијске подршке за реализацију мера </w:t>
      </w:r>
    </w:p>
    <w:p w14:paraId="679ADFE9">
      <w:pPr>
        <w:numPr>
          <w:ilvl w:val="0"/>
          <w:numId w:val="34"/>
        </w:numPr>
        <w:spacing w:after="0"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 xml:space="preserve">доношење одлука у вези са приоритетима и ресурсима </w:t>
      </w:r>
    </w:p>
    <w:p w14:paraId="3B8CCEFA">
      <w:pPr>
        <w:numPr>
          <w:ilvl w:val="0"/>
          <w:numId w:val="34"/>
        </w:numPr>
        <w:spacing w:after="0"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 xml:space="preserve">праћење напретка и извештавање о реализацији Плана </w:t>
      </w:r>
    </w:p>
    <w:p w14:paraId="23ED24CA">
      <w:pPr>
        <w:numPr>
          <w:ilvl w:val="0"/>
          <w:numId w:val="34"/>
        </w:numPr>
        <w:spacing w:after="0" w:line="240" w:lineRule="auto"/>
        <w:rPr>
          <w:rFonts w:ascii="Times New Roman" w:hAnsi="Times New Roman" w:eastAsia="Times New Roman" w:cs="Times New Roman"/>
          <w:kern w:val="0"/>
          <w:lang w:val="sr-Cyrl-RS" w:eastAsia="en-GB"/>
        </w:rPr>
      </w:pPr>
      <w:r>
        <w:rPr>
          <w:rFonts w:ascii="Times New Roman" w:hAnsi="Times New Roman" w:eastAsia="Times New Roman" w:cs="Times New Roman"/>
          <w:kern w:val="0"/>
          <w:lang w:val="sr-Cyrl-RS" w:eastAsia="en-GB"/>
        </w:rPr>
        <w:t xml:space="preserve">обезбеђивање сарадње са националним институцијама и донаторима </w:t>
      </w:r>
    </w:p>
    <w:p w14:paraId="2FEB9EE1">
      <w:pPr>
        <w:spacing w:after="0" w:line="240" w:lineRule="auto"/>
        <w:rPr>
          <w:rFonts w:ascii="Times New Roman" w:hAnsi="Times New Roman" w:cs="Times New Roman"/>
          <w:lang w:val="sr-Cyrl-RS" w:eastAsia="en-GB"/>
        </w:rPr>
      </w:pPr>
    </w:p>
    <w:p w14:paraId="5773EA2B">
      <w:pPr>
        <w:spacing w:after="0" w:line="240" w:lineRule="auto"/>
        <w:rPr>
          <w:rFonts w:ascii="Times New Roman" w:hAnsi="Times New Roman" w:eastAsia="Times New Roman" w:cs="Times New Roman"/>
          <w:kern w:val="0"/>
          <w:lang w:val="sr-Cyrl-RS" w:eastAsia="en-GB"/>
        </w:rPr>
      </w:pPr>
      <w:r>
        <w:rPr>
          <w:rFonts w:ascii="Times New Roman" w:hAnsi="Times New Roman" w:cs="Times New Roman"/>
          <w:b/>
          <w:lang w:val="sr-Cyrl-RS" w:eastAsia="en-GB"/>
        </w:rPr>
        <w:t>Координационо тело за дигиталну трансформацију и паметни град</w:t>
      </w:r>
      <w:r>
        <w:rPr>
          <w:rFonts w:ascii="Times New Roman" w:hAnsi="Times New Roman" w:cs="Times New Roman"/>
          <w:lang w:val="sr-Cyrl-RS" w:eastAsia="en-GB"/>
        </w:rPr>
        <w:t xml:space="preserve"> - </w:t>
      </w:r>
      <w:r>
        <w:rPr>
          <w:rFonts w:ascii="Times New Roman" w:hAnsi="Times New Roman" w:eastAsia="Times New Roman" w:cs="Times New Roman"/>
          <w:kern w:val="0"/>
          <w:lang w:val="sr-Cyrl-RS" w:eastAsia="en-GB"/>
        </w:rPr>
        <w:t xml:space="preserve">За потребе координације и праћења реализације Плана препоручује се успостављање или формално дефинисање </w:t>
      </w:r>
      <w:r>
        <w:rPr>
          <w:rFonts w:ascii="Times New Roman" w:hAnsi="Times New Roman" w:eastAsia="Times New Roman" w:cs="Times New Roman"/>
          <w:b/>
          <w:bCs/>
          <w:kern w:val="0"/>
          <w:lang w:val="sr-Cyrl-RS" w:eastAsia="en-GB"/>
        </w:rPr>
        <w:t xml:space="preserve">Координационог тела за дигиталну трансформацију и развој паметног града. </w:t>
      </w:r>
      <w:r>
        <w:rPr>
          <w:rFonts w:ascii="Times New Roman" w:hAnsi="Times New Roman" w:eastAsia="Times New Roman" w:cs="Times New Roman"/>
          <w:kern w:val="0"/>
          <w:lang w:val="sr-Cyrl-RS" w:eastAsia="en-GB"/>
        </w:rPr>
        <w:t xml:space="preserve">Ово тело може настати из постојеће Радна група за израду Плана или посебно именовано координационо тело. </w:t>
      </w:r>
    </w:p>
    <w:p w14:paraId="0FA84E06">
      <w:pPr>
        <w:spacing w:after="0" w:line="240" w:lineRule="auto"/>
        <w:rPr>
          <w:rFonts w:ascii="Times New Roman" w:hAnsi="Times New Roman" w:eastAsia="Times New Roman" w:cs="Times New Roman"/>
          <w:kern w:val="0"/>
          <w:lang w:val="sr-Cyrl-RS" w:eastAsia="en-GB"/>
        </w:rPr>
      </w:pPr>
    </w:p>
    <w:p w14:paraId="76FEACCC">
      <w:pPr>
        <w:spacing w:after="0" w:line="240" w:lineRule="auto"/>
        <w:rPr>
          <w:rFonts w:ascii="Times New Roman" w:hAnsi="Times New Roman" w:cs="Times New Roman"/>
          <w:lang w:val="sr-Cyrl-RS" w:eastAsia="en-GB"/>
        </w:rPr>
      </w:pPr>
      <w:r>
        <w:rPr>
          <w:rFonts w:ascii="Times New Roman" w:hAnsi="Times New Roman" w:cs="Times New Roman"/>
          <w:bCs/>
          <w:lang w:val="sr-Cyrl-RS" w:eastAsia="en-GB"/>
        </w:rPr>
        <w:t>Основне надлежности Координационог тела су</w:t>
      </w:r>
      <w:r>
        <w:rPr>
          <w:rFonts w:ascii="Times New Roman" w:hAnsi="Times New Roman" w:cs="Times New Roman"/>
          <w:b/>
          <w:bCs/>
          <w:lang w:val="sr-Cyrl-RS" w:eastAsia="en-GB"/>
        </w:rPr>
        <w:t xml:space="preserve"> </w:t>
      </w:r>
      <w:r>
        <w:rPr>
          <w:rFonts w:ascii="Times New Roman" w:hAnsi="Times New Roman" w:cs="Times New Roman"/>
          <w:lang w:val="sr-Cyrl-RS" w:eastAsia="en-GB"/>
        </w:rPr>
        <w:t xml:space="preserve">праћење реализације мера и пројеката, координација активности између организационих јединица, идентификација проблема и предлог корективних мера, предлагање приоритета за финансирање, разматрање извештаја о напретку, подршка у припреми нових пројеката.  </w:t>
      </w:r>
    </w:p>
    <w:p w14:paraId="45E33CF1">
      <w:pPr>
        <w:spacing w:after="0" w:line="240" w:lineRule="auto"/>
        <w:rPr>
          <w:rFonts w:ascii="Times New Roman" w:hAnsi="Times New Roman" w:cs="Times New Roman"/>
          <w:lang w:val="sr-Cyrl-RS" w:eastAsia="en-GB"/>
        </w:rPr>
      </w:pPr>
    </w:p>
    <w:p w14:paraId="3E4016CF">
      <w:pPr>
        <w:spacing w:after="0" w:line="240" w:lineRule="auto"/>
        <w:jc w:val="both"/>
        <w:rPr>
          <w:rFonts w:ascii="Times New Roman" w:hAnsi="Times New Roman" w:cs="Times New Roman"/>
          <w:lang w:val="sr-Cyrl-RS" w:eastAsia="en-GB"/>
        </w:rPr>
      </w:pPr>
      <w:r>
        <w:rPr>
          <w:rFonts w:ascii="Times New Roman" w:hAnsi="Times New Roman" w:cs="Times New Roman"/>
          <w:bCs/>
          <w:lang w:val="sr-Cyrl-RS" w:eastAsia="en-GB"/>
        </w:rPr>
        <w:t xml:space="preserve">Препоручени састав Координационог тела: </w:t>
      </w:r>
      <w:r>
        <w:rPr>
          <w:rFonts w:ascii="Times New Roman" w:hAnsi="Times New Roman" w:cs="Times New Roman"/>
          <w:lang w:val="sr-Cyrl-RS" w:eastAsia="en-GB"/>
        </w:rPr>
        <w:t xml:space="preserve">представник руководства града, представници релевантних одељења (урбанизам, финансије, ИТ, локални економски развој), представници јавних комуналних предузећа, представници јавних установа, по потреби, представници привреде и организација цивилног друштва. </w:t>
      </w:r>
    </w:p>
    <w:p w14:paraId="53840439">
      <w:pPr>
        <w:spacing w:after="0" w:line="240" w:lineRule="auto"/>
        <w:jc w:val="both"/>
        <w:rPr>
          <w:rFonts w:ascii="Times New Roman" w:hAnsi="Times New Roman" w:cs="Times New Roman"/>
          <w:lang w:val="sr-Cyrl-RS" w:eastAsia="en-GB"/>
        </w:rPr>
      </w:pPr>
    </w:p>
    <w:p w14:paraId="55C41DEE">
      <w:pPr>
        <w:spacing w:after="0" w:line="240" w:lineRule="auto"/>
        <w:rPr>
          <w:rFonts w:ascii="Times New Roman" w:hAnsi="Times New Roman" w:cs="Times New Roman"/>
          <w:lang w:val="sr-Cyrl-RS" w:eastAsia="en-GB"/>
        </w:rPr>
      </w:pPr>
      <w:r>
        <w:rPr>
          <w:rFonts w:ascii="Times New Roman" w:hAnsi="Times New Roman" w:cs="Times New Roman"/>
          <w:b/>
          <w:lang w:val="sr-Cyrl-RS" w:eastAsia="en-GB"/>
        </w:rPr>
        <w:t>Носиоци реализације мера и пројеката</w:t>
      </w:r>
      <w:r>
        <w:rPr>
          <w:rFonts w:ascii="Times New Roman" w:hAnsi="Times New Roman" w:cs="Times New Roman"/>
          <w:lang w:val="sr-Cyrl-RS" w:eastAsia="en-GB"/>
        </w:rPr>
        <w:t xml:space="preserve"> </w:t>
      </w:r>
    </w:p>
    <w:p w14:paraId="1D59F00C">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Носиоци реализације мера и пројеката су организационе јединице Града Пирота, јавна комунална предузећа и јавне установе, у складу са својим надлежностима.</w:t>
      </w:r>
    </w:p>
    <w:p w14:paraId="4EF8CB52">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 xml:space="preserve">Основне одговорности носилаца реализације обухватају планирање и реализацију активности у оквиру мера и пројеката, управљање ресурсима и буџетом, припрему техничке документације, праћење реализације активности, достављање података за извештавање. </w:t>
      </w:r>
    </w:p>
    <w:p w14:paraId="4A30665F">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 xml:space="preserve">Носиоци реализације наведени су у поглављу 4 овог Плана и обухватају Град Пирот (одељења управе), ЈКП Комуналац Пирот, ЈКП Водовод и канализација Пирот, Јавне установе (школе, здравствене установе, установе културе), Туристичку организацију Пирота. </w:t>
      </w:r>
    </w:p>
    <w:p w14:paraId="03707C16">
      <w:pPr>
        <w:spacing w:after="0" w:line="240" w:lineRule="auto"/>
        <w:jc w:val="both"/>
        <w:rPr>
          <w:rFonts w:ascii="Times New Roman" w:hAnsi="Times New Roman" w:cs="Times New Roman"/>
          <w:lang w:val="sr-Cyrl-RS" w:eastAsia="en-GB"/>
        </w:rPr>
      </w:pPr>
    </w:p>
    <w:p w14:paraId="3F3EB1D0">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Улога јавних комуналних предузећа и јавних установа</w:t>
      </w:r>
    </w:p>
    <w:p w14:paraId="0EF78564">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 xml:space="preserve">Јавна комунална предузећа и јавне установе имају кључну улогу у реализацији техничких и оперативних мера у областима управљања водоводним системом, отпадом, саобраћајем и паркингом, јавним површинама, пружањем јавних услуга. Њихова улога обухвата: управљање инфраструктуром и системима, прикупљање и достављање података, одржавање система, сарадњу са градском управом у имплементацији мера. </w:t>
      </w:r>
    </w:p>
    <w:p w14:paraId="0C27BAFA">
      <w:pPr>
        <w:spacing w:after="0" w:line="240" w:lineRule="auto"/>
        <w:jc w:val="both"/>
        <w:rPr>
          <w:rFonts w:ascii="Times New Roman" w:hAnsi="Times New Roman" w:cs="Times New Roman"/>
          <w:lang w:val="sr-Cyrl-RS" w:eastAsia="en-GB"/>
        </w:rPr>
      </w:pPr>
    </w:p>
    <w:p w14:paraId="0E14E0D6">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Улога партнера и заинтересованих страна</w:t>
      </w:r>
    </w:p>
    <w:p w14:paraId="6B1CC14C">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 xml:space="preserve">Имплементација Плана подразумева активну сарадњу са партнерима из јавног, приватног и цивилног сектора. Кључни партнери могу бити надлежна министарства, донаторске организације, образовне и научне институције, привредни субјекти, организације цивилног друштва и грађани. </w:t>
      </w:r>
    </w:p>
    <w:p w14:paraId="3FA3A817">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 xml:space="preserve">Улога партнера обухвата учешће у реализацији пројеката, пружање техничке и финансијске подршке, учешће у консултацијама и планирању, размену података и знања. </w:t>
      </w:r>
    </w:p>
    <w:p w14:paraId="052A3CF7">
      <w:pPr>
        <w:spacing w:after="0" w:line="240" w:lineRule="auto"/>
        <w:jc w:val="both"/>
        <w:rPr>
          <w:rFonts w:ascii="Times New Roman" w:hAnsi="Times New Roman" w:cs="Times New Roman"/>
          <w:lang w:val="sr-Cyrl-RS" w:eastAsia="en-GB"/>
        </w:rPr>
      </w:pPr>
    </w:p>
    <w:p w14:paraId="1D684F62">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Механизми координације и комуникације</w:t>
      </w:r>
    </w:p>
    <w:p w14:paraId="169F63A1">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За ефикасну реализацију Плана неопходно је успоставити јасне механизме координације и комуникације између свих актера.</w:t>
      </w:r>
    </w:p>
    <w:p w14:paraId="4DE98734">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Кључни механизми обухватају редовне састанке Координационог тела, годишње планирање активности, размену података и информација, коришћење дигиталних алата за праћење реализације мера, извештавање руководству града. На оперативном нивоу, од пресудне важности је успостављање оперативног и аналитичког праћења свих кључних показатеља који се добијају од сваког појединачно примењеног паментог решења, као и од свих административних и оперативних делатности које су обухваћене овим Планом.</w:t>
      </w:r>
    </w:p>
    <w:p w14:paraId="18DE2DA8">
      <w:pPr>
        <w:spacing w:after="0" w:line="240" w:lineRule="auto"/>
        <w:jc w:val="both"/>
        <w:rPr>
          <w:rFonts w:ascii="Times New Roman" w:hAnsi="Times New Roman" w:cs="Times New Roman"/>
          <w:lang w:val="sr-Cyrl-RS" w:eastAsia="en-GB"/>
        </w:rPr>
      </w:pPr>
    </w:p>
    <w:p w14:paraId="3EE144FD">
      <w:pPr>
        <w:pStyle w:val="3"/>
        <w:tabs>
          <w:tab w:val="left" w:pos="1418"/>
        </w:tabs>
        <w:spacing w:before="0" w:after="0" w:line="240" w:lineRule="auto"/>
        <w:rPr>
          <w:color w:val="000000" w:themeColor="text1"/>
          <w:lang w:val="sr-Cyrl-RS"/>
          <w14:textFill>
            <w14:solidFill>
              <w14:schemeClr w14:val="tx1"/>
            </w14:solidFill>
          </w14:textFill>
        </w:rPr>
      </w:pPr>
      <w:bookmarkStart w:id="20" w:name="_Toc229061125"/>
      <w:r>
        <w:rPr>
          <w:color w:val="000000" w:themeColor="text1"/>
          <w:lang w:val="sr-Cyrl-RS"/>
          <w14:textFill>
            <w14:solidFill>
              <w14:schemeClr w14:val="tx1"/>
            </w14:solidFill>
          </w14:textFill>
        </w:rPr>
        <w:t>3.2 Подршка у процесу реализације</w:t>
      </w:r>
      <w:bookmarkEnd w:id="20"/>
    </w:p>
    <w:p w14:paraId="3954E126">
      <w:pPr>
        <w:spacing w:after="0" w:line="240" w:lineRule="auto"/>
        <w:jc w:val="both"/>
        <w:rPr>
          <w:rFonts w:ascii="Times New Roman" w:hAnsi="Times New Roman" w:cs="Times New Roman"/>
          <w:lang w:val="sr-Cyrl-RS" w:eastAsia="en-GB"/>
        </w:rPr>
      </w:pPr>
    </w:p>
    <w:p w14:paraId="4CC2296A">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Ефикасна реализација Плана дигиталне трансформације и развоја паметног града захтева обезбеђивање одговарајућих институционалних, финансијских, техничких и организационих ресурса. Подршка у процесу реализације подразумева систематско јачање капацитета локалне самоуправе, развој партнерстава и обезбеђивање услова за одрживу имплементацију мера и пројеката.</w:t>
      </w:r>
    </w:p>
    <w:p w14:paraId="4FBBB833">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Подршка реализацији Плана заснива се на принципима одрживости, партнерства, континуираног учења и ефикасног управљања ресурсима.</w:t>
      </w:r>
    </w:p>
    <w:p w14:paraId="411277D6">
      <w:pPr>
        <w:spacing w:after="0" w:line="240" w:lineRule="auto"/>
        <w:jc w:val="both"/>
        <w:rPr>
          <w:rFonts w:ascii="Times New Roman" w:hAnsi="Times New Roman" w:cs="Times New Roman"/>
          <w:lang w:val="sr-Cyrl-RS" w:eastAsia="en-GB"/>
        </w:rPr>
      </w:pPr>
    </w:p>
    <w:p w14:paraId="76901967">
      <w:pPr>
        <w:spacing w:after="0" w:line="240" w:lineRule="auto"/>
        <w:rPr>
          <w:rFonts w:ascii="Times New Roman" w:hAnsi="Times New Roman" w:cs="Times New Roman"/>
          <w:b/>
          <w:bCs/>
          <w:lang w:val="sr-Cyrl-RS" w:eastAsia="en-GB"/>
        </w:rPr>
      </w:pPr>
      <w:r>
        <w:rPr>
          <w:rFonts w:ascii="Times New Roman" w:hAnsi="Times New Roman" w:cs="Times New Roman"/>
          <w:b/>
          <w:bCs/>
          <w:lang w:val="sr-Cyrl-RS" w:eastAsia="en-GB"/>
        </w:rPr>
        <w:t>Финансијска подршка реализацији Плана</w:t>
      </w:r>
    </w:p>
    <w:p w14:paraId="112B7856">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Финансирање мера и пројеката из Плана обезбеђује се из различитих извора, у складу са приоритетима развоја града и расположивим ресурсима.</w:t>
      </w:r>
    </w:p>
    <w:p w14:paraId="4BB42EB8">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Кључни извори финансирања могу обухватити буџет Града Пирота, националне програме и фондове, средства министарстава и јавних институција, средства донаторских организација, средства међународних финансијских институција, средства Европске уније, јавно-приватна партнерства.</w:t>
      </w:r>
    </w:p>
    <w:p w14:paraId="5A711A84">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Посебан акценат ставља се на планирање средстава за реализацију мера у годишњим буџетима, припрему пројеката за конкурисање за екстерна средства, постепено увођење нових решења у складу са финансијским могућностима.</w:t>
      </w:r>
    </w:p>
    <w:p w14:paraId="150E8052">
      <w:pPr>
        <w:spacing w:after="0" w:line="240" w:lineRule="auto"/>
        <w:jc w:val="both"/>
        <w:rPr>
          <w:rFonts w:ascii="Times New Roman" w:hAnsi="Times New Roman" w:cs="Times New Roman"/>
          <w:lang w:val="sr-Cyrl-RS" w:eastAsia="en-GB"/>
        </w:rPr>
      </w:pPr>
    </w:p>
    <w:p w14:paraId="36D9E532">
      <w:pPr>
        <w:spacing w:after="0" w:line="240" w:lineRule="auto"/>
        <w:rPr>
          <w:rFonts w:ascii="Times New Roman" w:hAnsi="Times New Roman" w:cs="Times New Roman"/>
          <w:b/>
          <w:bCs/>
          <w:lang w:val="sr-Cyrl-RS" w:eastAsia="en-GB"/>
        </w:rPr>
      </w:pPr>
      <w:r>
        <w:rPr>
          <w:rFonts w:ascii="Times New Roman" w:hAnsi="Times New Roman" w:cs="Times New Roman"/>
          <w:b/>
          <w:bCs/>
          <w:lang w:val="sr-Cyrl-RS" w:eastAsia="en-GB"/>
        </w:rPr>
        <w:t>Техничка и стручна подршка</w:t>
      </w:r>
    </w:p>
    <w:p w14:paraId="603A7AEA">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Реализација мера и пројеката из Плана захтева ангажовање стручних кадрова и примену савремених техничких решења.</w:t>
      </w:r>
    </w:p>
    <w:p w14:paraId="3E8A5559">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Техничка и стручна подршка може обухватити припрему техничке документације, развој информационих система и дигиталних платформи, консултантску подршку у области дигитализације и паметних решења, подршку у управљању пројектима, подршку у јавним набавкама и управљању уговорима, обуку запослених.</w:t>
      </w:r>
    </w:p>
    <w:p w14:paraId="5BF91837">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Посебан акценат ставља се на увођење стандарда и процедура за имплементацију паметних решења, хоризонталну и вертикалну сарадњу унутар Градске управе и комуналних предузећа, обезбеђивање интероперабилности система, обезбеђивање безбедности података и информационих система.</w:t>
      </w:r>
    </w:p>
    <w:p w14:paraId="15EA629A">
      <w:pPr>
        <w:spacing w:after="0" w:line="240" w:lineRule="auto"/>
        <w:jc w:val="both"/>
        <w:rPr>
          <w:rFonts w:ascii="Times New Roman" w:hAnsi="Times New Roman" w:cs="Times New Roman"/>
          <w:lang w:val="sr-Cyrl-RS" w:eastAsia="en-GB"/>
        </w:rPr>
      </w:pPr>
    </w:p>
    <w:p w14:paraId="17BF6625">
      <w:pPr>
        <w:spacing w:after="0" w:line="240" w:lineRule="auto"/>
        <w:rPr>
          <w:rFonts w:ascii="Times New Roman" w:hAnsi="Times New Roman" w:cs="Times New Roman"/>
          <w:b/>
          <w:bCs/>
          <w:lang w:val="sr-Cyrl-RS" w:eastAsia="en-GB"/>
        </w:rPr>
      </w:pPr>
      <w:r>
        <w:rPr>
          <w:rFonts w:ascii="Times New Roman" w:hAnsi="Times New Roman" w:cs="Times New Roman"/>
          <w:b/>
          <w:bCs/>
          <w:lang w:val="sr-Cyrl-RS" w:eastAsia="en-GB"/>
        </w:rPr>
        <w:t>Јачање институционалних и кадровских капацитета</w:t>
      </w:r>
    </w:p>
    <w:p w14:paraId="24BE6499">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Успешна реализација Плана захтева континуирано унапређење знања и вештина запослених у локалној самоуправи и јавним предузећима.</w:t>
      </w:r>
    </w:p>
    <w:p w14:paraId="3725FC2D">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Активности у овој области могу обухватити обуке за запослене у области дигитализације и управљања пројектима, унапређење организације рада, увођење нових радних процедура, измене у описима послова за запослене и усклаћивање годишњих радних планова, размену искустава са другим градовима, учешће у националним и међународним програмима.</w:t>
      </w:r>
    </w:p>
    <w:p w14:paraId="474825D6">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Посебан акценат ставља се на развој интерних тимова за дигиталну трансформацију, јачање капацитета за припрему и реализацију пројеката, развој капацитета за управљање подацима и аналитику.</w:t>
      </w:r>
    </w:p>
    <w:p w14:paraId="09E775D7">
      <w:pPr>
        <w:spacing w:after="0" w:line="240" w:lineRule="auto"/>
        <w:jc w:val="both"/>
        <w:rPr>
          <w:rFonts w:ascii="Times New Roman" w:hAnsi="Times New Roman" w:cs="Times New Roman"/>
          <w:lang w:val="sr-Cyrl-RS" w:eastAsia="en-GB"/>
        </w:rPr>
      </w:pPr>
    </w:p>
    <w:p w14:paraId="7A0D8027">
      <w:pPr>
        <w:spacing w:after="0" w:line="240" w:lineRule="auto"/>
        <w:rPr>
          <w:rFonts w:ascii="Times New Roman" w:hAnsi="Times New Roman" w:cs="Times New Roman"/>
          <w:b/>
          <w:bCs/>
          <w:lang w:val="sr-Cyrl-RS" w:eastAsia="en-GB"/>
        </w:rPr>
      </w:pPr>
      <w:r>
        <w:rPr>
          <w:rFonts w:ascii="Times New Roman" w:hAnsi="Times New Roman" w:cs="Times New Roman"/>
          <w:b/>
          <w:bCs/>
          <w:lang w:val="sr-Cyrl-RS" w:eastAsia="en-GB"/>
        </w:rPr>
        <w:t>Партнерства и сарадња са релевантним актерима</w:t>
      </w:r>
    </w:p>
    <w:p w14:paraId="089BAC28">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Кључни партнери могу бити министарства и националне институције, јавна комунална предузећа, образовне и научне институције, привредни субјекти, организације цивилног друштва, међународне организације и донатори.</w:t>
      </w:r>
    </w:p>
    <w:p w14:paraId="57283533">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Сарадња са партнерима може обухватити заједничку реализацију пројеката, размену знања и искустава, техничку и финансијску подршку, развој иновативних решења.</w:t>
      </w:r>
    </w:p>
    <w:p w14:paraId="774AAC10">
      <w:pPr>
        <w:spacing w:after="0" w:line="240" w:lineRule="auto"/>
        <w:jc w:val="both"/>
        <w:rPr>
          <w:rFonts w:ascii="Times New Roman" w:hAnsi="Times New Roman" w:cs="Times New Roman"/>
          <w:lang w:val="sr-Cyrl-RS" w:eastAsia="en-GB"/>
        </w:rPr>
      </w:pPr>
    </w:p>
    <w:p w14:paraId="263DDBF3">
      <w:pPr>
        <w:spacing w:after="0" w:line="240" w:lineRule="auto"/>
        <w:rPr>
          <w:rFonts w:ascii="Times New Roman" w:hAnsi="Times New Roman" w:cs="Times New Roman"/>
          <w:b/>
          <w:bCs/>
          <w:lang w:val="sr-Cyrl-RS" w:eastAsia="en-GB"/>
        </w:rPr>
      </w:pPr>
      <w:r>
        <w:rPr>
          <w:rFonts w:ascii="Times New Roman" w:hAnsi="Times New Roman" w:cs="Times New Roman"/>
          <w:b/>
          <w:bCs/>
          <w:lang w:val="sr-Cyrl-RS" w:eastAsia="en-GB"/>
        </w:rPr>
        <w:t>Дигитална инфраструктура и системи подршке</w:t>
      </w:r>
    </w:p>
    <w:p w14:paraId="2E2BC51B">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Успешна реализација Плана зависи од постојања адекватне дигиталне инфраструктуре и информационих система који омогућавају ефикасно и безбедно управљање ресурсима и услугама.</w:t>
      </w:r>
    </w:p>
    <w:p w14:paraId="60356FC1">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Кључни елементи дигиталне инфраструктуре обухватају информационе системе локалне самоуправе, комуникациону инфраструктуру, системе за управљање подацима, дигиталне платформе и апликације, системе за сајбер безбедност и заштиту личних података.</w:t>
      </w:r>
    </w:p>
    <w:p w14:paraId="7D0D1BDF">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Посебан акценат ставља се на интеграцију постојећих система, унапређење поузданости и безбедности система, обезбеђивање континуитета рада система.</w:t>
      </w:r>
    </w:p>
    <w:p w14:paraId="2AF7FF76">
      <w:pPr>
        <w:spacing w:after="0" w:line="240" w:lineRule="auto"/>
        <w:jc w:val="both"/>
        <w:rPr>
          <w:rFonts w:ascii="Times New Roman" w:hAnsi="Times New Roman" w:cs="Times New Roman"/>
          <w:lang w:val="sr-Cyrl-RS" w:eastAsia="en-GB"/>
        </w:rPr>
      </w:pPr>
    </w:p>
    <w:p w14:paraId="5F4F6A43">
      <w:pPr>
        <w:spacing w:after="0" w:line="240" w:lineRule="auto"/>
        <w:rPr>
          <w:rFonts w:ascii="Times New Roman" w:hAnsi="Times New Roman" w:cs="Times New Roman"/>
          <w:b/>
          <w:bCs/>
          <w:lang w:val="sr-Cyrl-RS" w:eastAsia="en-GB"/>
        </w:rPr>
      </w:pPr>
      <w:r>
        <w:rPr>
          <w:rFonts w:ascii="Times New Roman" w:hAnsi="Times New Roman" w:cs="Times New Roman"/>
          <w:b/>
          <w:bCs/>
          <w:lang w:val="sr-Cyrl-RS" w:eastAsia="en-GB"/>
        </w:rPr>
        <w:t>Комуникација и информисање јавности</w:t>
      </w:r>
    </w:p>
    <w:p w14:paraId="04AC7039">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Подршка реализацији Плана подразумева и континуирану комуникацију са грађанима и заинтересованим странама.</w:t>
      </w:r>
    </w:p>
    <w:p w14:paraId="6659F30D">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Активности у овој области могу обухватити информисање јавности о реализацији мера, објављивање резултата и постигнутих ефеката, организацију јавних догађаја и консултација, коришћење дигиталних канала комуникације, прикупљање повратних информација од корисника.</w:t>
      </w:r>
    </w:p>
    <w:p w14:paraId="0CCBE9A5">
      <w:pPr>
        <w:spacing w:after="0" w:line="240" w:lineRule="auto"/>
        <w:jc w:val="both"/>
        <w:rPr>
          <w:rFonts w:ascii="Times New Roman" w:hAnsi="Times New Roman" w:cs="Times New Roman"/>
          <w:lang w:val="sr-Cyrl-RS" w:eastAsia="en-GB"/>
        </w:rPr>
      </w:pPr>
    </w:p>
    <w:p w14:paraId="632064A4">
      <w:pPr>
        <w:pStyle w:val="3"/>
        <w:tabs>
          <w:tab w:val="left" w:pos="1418"/>
        </w:tabs>
        <w:spacing w:before="0" w:after="0" w:line="240" w:lineRule="auto"/>
        <w:rPr>
          <w:color w:val="000000" w:themeColor="text1"/>
          <w:lang w:val="sr-Cyrl-RS"/>
          <w14:textFill>
            <w14:solidFill>
              <w14:schemeClr w14:val="tx1"/>
            </w14:solidFill>
          </w14:textFill>
        </w:rPr>
      </w:pPr>
      <w:bookmarkStart w:id="21" w:name="_Toc229061126"/>
      <w:r>
        <w:rPr>
          <w:color w:val="000000" w:themeColor="text1"/>
          <w:lang w:val="sr-Cyrl-RS"/>
          <w14:textFill>
            <w14:solidFill>
              <w14:schemeClr w14:val="tx1"/>
            </w14:solidFill>
          </w14:textFill>
        </w:rPr>
        <w:t>3.3 План праћења, вредновања и извештавања</w:t>
      </w:r>
      <w:bookmarkEnd w:id="21"/>
      <w:r>
        <w:rPr>
          <w:color w:val="000000" w:themeColor="text1"/>
          <w:lang w:val="sr-Cyrl-RS"/>
          <w14:textFill>
            <w14:solidFill>
              <w14:schemeClr w14:val="tx1"/>
            </w14:solidFill>
          </w14:textFill>
        </w:rPr>
        <w:t xml:space="preserve"> </w:t>
      </w:r>
    </w:p>
    <w:p w14:paraId="034618D0">
      <w:pPr>
        <w:spacing w:after="0" w:line="240" w:lineRule="auto"/>
        <w:jc w:val="both"/>
        <w:rPr>
          <w:rFonts w:ascii="Times New Roman" w:hAnsi="Times New Roman" w:eastAsia="Times New Roman" w:cs="Times New Roman"/>
          <w:kern w:val="0"/>
          <w:szCs w:val="22"/>
          <w:lang w:val="sr-Cyrl-RS" w:eastAsia="en-GB"/>
        </w:rPr>
      </w:pPr>
    </w:p>
    <w:p w14:paraId="0CDC5EEE">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Праћење, вредновање и извештавање представљају кључне механизме за обезбеђивање успешне реализације Плана дигиталне трансформације и развоја паметног града. Ови процеси омогућавају правовремено праћење напретка, идентификацију изазова, доношење информисаних одлука и унапређење реализације мера и пројеката. Систем праћења и вредновања Плана заснива се на принципима транспарентности, поузданости података, одговорности институција и континуираног унапређења услуга за грађане и привреду.</w:t>
      </w:r>
    </w:p>
    <w:p w14:paraId="3DA5E0DB">
      <w:pPr>
        <w:spacing w:after="0" w:line="240" w:lineRule="auto"/>
        <w:jc w:val="both"/>
        <w:rPr>
          <w:rFonts w:ascii="Times New Roman" w:hAnsi="Times New Roman" w:eastAsia="Times New Roman" w:cs="Times New Roman"/>
          <w:kern w:val="0"/>
          <w:szCs w:val="22"/>
          <w:lang w:val="sr-Cyrl-RS" w:eastAsia="en-GB"/>
        </w:rPr>
      </w:pPr>
    </w:p>
    <w:p w14:paraId="188EA23F">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Сврха праћења и вредновања Плана</w:t>
      </w:r>
    </w:p>
    <w:p w14:paraId="32F30D59">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 xml:space="preserve">Праћење и вредновање Плана имају за циљ да обезбеде благовремене и поуздане информације о напретку у реализацији мера и пројеката, као и да омогуће прилагођавање активности у складу са потребама и променама у окружењу. </w:t>
      </w:r>
    </w:p>
    <w:p w14:paraId="3153ED98">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Основне сврхе система праћења обухватају праћење реализације мера и активности, мерење постигнутих резултата и ефеката, идентификацију проблема и ризика у реализацији, подршку доношењу одлука, унапређење квалитета јавних услуга, обезбеђивање транспарентности рада локалне самоуправе.</w:t>
      </w:r>
    </w:p>
    <w:p w14:paraId="01061526">
      <w:pPr>
        <w:spacing w:after="0" w:line="240" w:lineRule="auto"/>
        <w:jc w:val="both"/>
        <w:rPr>
          <w:rFonts w:ascii="Times New Roman" w:hAnsi="Times New Roman" w:cs="Times New Roman"/>
          <w:lang w:val="sr-Cyrl-RS" w:eastAsia="en-GB"/>
        </w:rPr>
      </w:pPr>
    </w:p>
    <w:p w14:paraId="41EA83F8">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Носиоци праћења и извештавања</w:t>
      </w:r>
    </w:p>
    <w:p w14:paraId="5CD5A56C">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Праћење реализације Плана спроводе организационе јединице Града Пирота, јавна комунална предузећа и јавне установе, у складу са својим надлежностима.</w:t>
      </w:r>
    </w:p>
    <w:p w14:paraId="0B380265">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Кључни носиоци процеса праћења и извештавања су Град Пирот, организационе јединице градске управе, јавна комунална предузећа, јавне установе, Координационо тело за дигиталну трансформацију и паметни град.</w:t>
      </w:r>
    </w:p>
    <w:p w14:paraId="7EC08E37">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Основне одговорности носилаца праћења обухватају прикупљање података о реализацији активности, праћење показатеља учинка, достављање података за извештавање, анализу резултата и идентификацију проблема, предлагање мера за унапређење реализације.</w:t>
      </w:r>
    </w:p>
    <w:p w14:paraId="4CE6DF80">
      <w:pPr>
        <w:spacing w:after="0" w:line="240" w:lineRule="auto"/>
        <w:jc w:val="both"/>
        <w:rPr>
          <w:rFonts w:ascii="Times New Roman" w:hAnsi="Times New Roman" w:cs="Times New Roman"/>
          <w:lang w:val="sr-Cyrl-RS" w:eastAsia="en-GB"/>
        </w:rPr>
      </w:pPr>
    </w:p>
    <w:p w14:paraId="3963BC7B">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Показатељи праћења реализације Плана</w:t>
      </w:r>
    </w:p>
    <w:p w14:paraId="0C156F37">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Праћење реализације Плана заснива се на систему показатеља који омогућава мерење напретка и процену ефеката реализованих мера и пројеката. Показатељи се прате на нивоу приоритетних области, мера и пројеката, укупног Плана.</w:t>
      </w:r>
    </w:p>
    <w:p w14:paraId="2BFF886E">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Кључни типови показатеља обухватају показатеље реализације активности, показатеље резултата, показатеље ефеката, показатеље задовољства корисника, показатеље ефикасности система. Подаци о показатељима прикупљају се у машински читљивом формату и редовно ажурирају, како би се обезбедила поузданост и доступност информација за доношење одлука.</w:t>
      </w:r>
    </w:p>
    <w:p w14:paraId="5400CE63">
      <w:pPr>
        <w:spacing w:after="0" w:line="240" w:lineRule="auto"/>
        <w:jc w:val="both"/>
        <w:rPr>
          <w:rFonts w:ascii="Times New Roman" w:hAnsi="Times New Roman" w:cs="Times New Roman"/>
          <w:lang w:val="sr-Cyrl-RS" w:eastAsia="en-GB"/>
        </w:rPr>
      </w:pPr>
    </w:p>
    <w:p w14:paraId="40FC0FF1">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Овим Планом начелно су одређени показатељи сваке мере и пројекта у Поглављу 4, као и кључни показатељи на нивоу целог Плана:</w:t>
      </w:r>
    </w:p>
    <w:tbl>
      <w:tblPr>
        <w:tblStyle w:val="4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7"/>
        <w:gridCol w:w="2480"/>
        <w:gridCol w:w="1324"/>
        <w:gridCol w:w="1622"/>
        <w:gridCol w:w="1849"/>
      </w:tblGrid>
      <w:tr w14:paraId="194B3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0" w:type="auto"/>
            <w:shd w:val="clear" w:color="auto" w:fill="D8D8D8" w:themeFill="background1" w:themeFillShade="D9"/>
          </w:tcPr>
          <w:p w14:paraId="7DA56854">
            <w:pPr>
              <w:spacing w:after="0" w:line="240" w:lineRule="auto"/>
              <w:rPr>
                <w:rFonts w:ascii="Times New Roman" w:hAnsi="Times New Roman" w:eastAsia="Calibri" w:cs="Times New Roman"/>
                <w:b/>
                <w:bCs/>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Приоритетна област</w:t>
            </w:r>
          </w:p>
        </w:tc>
        <w:tc>
          <w:tcPr>
            <w:tcW w:w="0" w:type="auto"/>
            <w:shd w:val="clear" w:color="auto" w:fill="D8D8D8" w:themeFill="background1" w:themeFillShade="D9"/>
          </w:tcPr>
          <w:p w14:paraId="4DA06922">
            <w:pPr>
              <w:spacing w:after="0" w:line="240" w:lineRule="auto"/>
              <w:rPr>
                <w:rFonts w:ascii="Times New Roman" w:hAnsi="Times New Roman" w:eastAsia="Calibri" w:cs="Times New Roman"/>
                <w:b/>
                <w:bCs/>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Показатељ</w:t>
            </w:r>
          </w:p>
        </w:tc>
        <w:tc>
          <w:tcPr>
            <w:tcW w:w="0" w:type="auto"/>
            <w:shd w:val="clear" w:color="auto" w:fill="D8D8D8" w:themeFill="background1" w:themeFillShade="D9"/>
          </w:tcPr>
          <w:p w14:paraId="1DEE18B1">
            <w:pPr>
              <w:spacing w:after="0" w:line="240" w:lineRule="auto"/>
              <w:rPr>
                <w:rFonts w:ascii="Times New Roman" w:hAnsi="Times New Roman" w:eastAsia="Calibri" w:cs="Times New Roman"/>
                <w:b/>
                <w:bCs/>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Почетно стање (2026.)</w:t>
            </w:r>
          </w:p>
        </w:tc>
        <w:tc>
          <w:tcPr>
            <w:tcW w:w="0" w:type="auto"/>
            <w:shd w:val="clear" w:color="auto" w:fill="D8D8D8" w:themeFill="background1" w:themeFillShade="D9"/>
          </w:tcPr>
          <w:p w14:paraId="523601E3">
            <w:pPr>
              <w:spacing w:after="0" w:line="240" w:lineRule="auto"/>
              <w:rPr>
                <w:rFonts w:ascii="Times New Roman" w:hAnsi="Times New Roman" w:eastAsia="Calibri" w:cs="Times New Roman"/>
                <w:b/>
                <w:bCs/>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Жељено стање (2030.)</w:t>
            </w:r>
          </w:p>
        </w:tc>
        <w:tc>
          <w:tcPr>
            <w:tcW w:w="0" w:type="auto"/>
            <w:shd w:val="clear" w:color="auto" w:fill="D8D8D8" w:themeFill="background1" w:themeFillShade="D9"/>
          </w:tcPr>
          <w:p w14:paraId="7CF33528">
            <w:pPr>
              <w:spacing w:after="0" w:line="240" w:lineRule="auto"/>
              <w:rPr>
                <w:rFonts w:ascii="Times New Roman" w:hAnsi="Times New Roman" w:eastAsia="Calibri" w:cs="Times New Roman"/>
                <w:b/>
                <w:bCs/>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Извор верификације</w:t>
            </w:r>
          </w:p>
        </w:tc>
      </w:tr>
      <w:tr w14:paraId="49C45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763AC81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1. Паметна привреда, туризам и иновације</w:t>
            </w:r>
          </w:p>
        </w:tc>
        <w:tc>
          <w:tcPr>
            <w:tcW w:w="0" w:type="auto"/>
          </w:tcPr>
          <w:p w14:paraId="481AA37F">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предузећа који користе дигиталне алате или платформе</w:t>
            </w:r>
          </w:p>
        </w:tc>
        <w:tc>
          <w:tcPr>
            <w:tcW w:w="0" w:type="auto"/>
          </w:tcPr>
          <w:p w14:paraId="40FF1F45">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процена: &lt;10</w:t>
            </w:r>
          </w:p>
        </w:tc>
        <w:tc>
          <w:tcPr>
            <w:tcW w:w="0" w:type="auto"/>
          </w:tcPr>
          <w:p w14:paraId="165F75A2">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30</w:t>
            </w:r>
          </w:p>
        </w:tc>
        <w:tc>
          <w:tcPr>
            <w:tcW w:w="0" w:type="auto"/>
          </w:tcPr>
          <w:p w14:paraId="673079FA">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Извештаји  програма подршке привреди</w:t>
            </w:r>
          </w:p>
        </w:tc>
      </w:tr>
      <w:tr w14:paraId="1DDF0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CAAF3CC">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1557A09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корисника дигиталних услуга и платформи за туризам</w:t>
            </w:r>
          </w:p>
        </w:tc>
        <w:tc>
          <w:tcPr>
            <w:tcW w:w="0" w:type="auto"/>
          </w:tcPr>
          <w:p w14:paraId="5DB8A5A2">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0FB71D75">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400</w:t>
            </w:r>
          </w:p>
        </w:tc>
        <w:tc>
          <w:tcPr>
            <w:tcW w:w="0" w:type="auto"/>
          </w:tcPr>
          <w:p w14:paraId="7EF1D0AA">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Веб презентација града, извештаји пројеката</w:t>
            </w:r>
          </w:p>
        </w:tc>
      </w:tr>
      <w:tr w14:paraId="5E68B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1430C0B">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5431CBE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подржаних пољопривредних газдинстава</w:t>
            </w:r>
          </w:p>
        </w:tc>
        <w:tc>
          <w:tcPr>
            <w:tcW w:w="0" w:type="auto"/>
          </w:tcPr>
          <w:p w14:paraId="15672DF7">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325B0B3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 xml:space="preserve">најмање 20 </w:t>
            </w:r>
          </w:p>
        </w:tc>
        <w:tc>
          <w:tcPr>
            <w:tcW w:w="0" w:type="auto"/>
          </w:tcPr>
          <w:p w14:paraId="69C8FB97">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Одељење за локални економски развој</w:t>
            </w:r>
          </w:p>
        </w:tc>
      </w:tr>
      <w:tr w14:paraId="1C198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153F70C">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3D397F3F">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cs="Times New Roman"/>
                <w:sz w:val="22"/>
                <w:szCs w:val="22"/>
                <w:lang w:val="sr-Cyrl-RS"/>
              </w:rPr>
              <w:t>Број подржаних ММСП подстицајима и субвенцијама за унапређење енергетске ефикасности</w:t>
            </w:r>
          </w:p>
        </w:tc>
        <w:tc>
          <w:tcPr>
            <w:tcW w:w="0" w:type="auto"/>
          </w:tcPr>
          <w:p w14:paraId="61D35F56">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04FD631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 xml:space="preserve">најмање 10 </w:t>
            </w:r>
          </w:p>
        </w:tc>
        <w:tc>
          <w:tcPr>
            <w:tcW w:w="0" w:type="auto"/>
          </w:tcPr>
          <w:p w14:paraId="07CE9AE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 xml:space="preserve">Енергетски менаџер </w:t>
            </w:r>
          </w:p>
        </w:tc>
      </w:tr>
      <w:tr w14:paraId="0325F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1AB532B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2. Паметна урбана мобилност</w:t>
            </w:r>
          </w:p>
        </w:tc>
        <w:tc>
          <w:tcPr>
            <w:tcW w:w="0" w:type="auto"/>
          </w:tcPr>
          <w:p w14:paraId="3466F42A">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 xml:space="preserve">Број функционалних унапређења у систему паркирања </w:t>
            </w:r>
          </w:p>
        </w:tc>
        <w:tc>
          <w:tcPr>
            <w:tcW w:w="0" w:type="auto"/>
          </w:tcPr>
          <w:p w14:paraId="6CB1C1C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(паркинг систем у увођењу)</w:t>
            </w:r>
          </w:p>
        </w:tc>
        <w:tc>
          <w:tcPr>
            <w:tcW w:w="0" w:type="auto"/>
          </w:tcPr>
          <w:p w14:paraId="7A62E26D">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3</w:t>
            </w:r>
          </w:p>
        </w:tc>
        <w:tc>
          <w:tcPr>
            <w:tcW w:w="0" w:type="auto"/>
          </w:tcPr>
          <w:p w14:paraId="3E955D3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Извештаји Града, ЈКП, системи управљања саобраћајем</w:t>
            </w:r>
          </w:p>
        </w:tc>
      </w:tr>
      <w:tr w14:paraId="0D9C0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372F8D1">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4CC04A36">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Просечно време проналаска паркинг места / застоја у центру града</w:t>
            </w:r>
          </w:p>
        </w:tc>
        <w:tc>
          <w:tcPr>
            <w:tcW w:w="0" w:type="auto"/>
          </w:tcPr>
          <w:p w14:paraId="07EBD3C2">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7D2780A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смањење за најмање 20%</w:t>
            </w:r>
          </w:p>
        </w:tc>
        <w:tc>
          <w:tcPr>
            <w:tcW w:w="0" w:type="auto"/>
          </w:tcPr>
          <w:p w14:paraId="6F7F9C4C">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Аналитика паркинг система, извештаји ЈКП</w:t>
            </w:r>
          </w:p>
        </w:tc>
      </w:tr>
      <w:tr w14:paraId="1F834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359641A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6060F9B5">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корисника електропуњача</w:t>
            </w:r>
          </w:p>
        </w:tc>
        <w:tc>
          <w:tcPr>
            <w:tcW w:w="0" w:type="auto"/>
          </w:tcPr>
          <w:p w14:paraId="03587963">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74357C4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500 (укључујући такси, становништво и посетиоце)</w:t>
            </w:r>
          </w:p>
        </w:tc>
        <w:tc>
          <w:tcPr>
            <w:tcW w:w="0" w:type="auto"/>
          </w:tcPr>
          <w:p w14:paraId="42ED2A7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Аналитика система електропуњача</w:t>
            </w:r>
          </w:p>
        </w:tc>
      </w:tr>
      <w:tr w14:paraId="03365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981C5CD">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528E042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броја саобраћајних незгода</w:t>
            </w:r>
          </w:p>
        </w:tc>
        <w:tc>
          <w:tcPr>
            <w:tcW w:w="0" w:type="auto"/>
          </w:tcPr>
          <w:p w14:paraId="2D41BB8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4DC4442C">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&lt;30%</w:t>
            </w:r>
          </w:p>
        </w:tc>
        <w:tc>
          <w:tcPr>
            <w:tcW w:w="0" w:type="auto"/>
          </w:tcPr>
          <w:p w14:paraId="7D7817CF">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cs="Times New Roman"/>
                <w:sz w:val="22"/>
                <w:szCs w:val="22"/>
                <w:lang w:val="sr-Cyrl-RS"/>
              </w:rPr>
              <w:t>Савет за безбедност саобраћаја</w:t>
            </w:r>
          </w:p>
        </w:tc>
      </w:tr>
      <w:tr w14:paraId="556E8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5714AD1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3. Паметно управљање ресурсима и животном средином</w:t>
            </w:r>
          </w:p>
        </w:tc>
        <w:tc>
          <w:tcPr>
            <w:tcW w:w="0" w:type="auto"/>
          </w:tcPr>
          <w:p w14:paraId="4F401AAD">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Проценат покривености система за праћење воде, отпада и квалитета ваздуха</w:t>
            </w:r>
          </w:p>
        </w:tc>
        <w:tc>
          <w:tcPr>
            <w:tcW w:w="0" w:type="auto"/>
          </w:tcPr>
          <w:p w14:paraId="694C43D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делимично</w:t>
            </w:r>
          </w:p>
        </w:tc>
        <w:tc>
          <w:tcPr>
            <w:tcW w:w="0" w:type="auto"/>
          </w:tcPr>
          <w:p w14:paraId="2DD3D657">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50% система покривено у свакој категорији</w:t>
            </w:r>
          </w:p>
        </w:tc>
        <w:tc>
          <w:tcPr>
            <w:tcW w:w="0" w:type="auto"/>
          </w:tcPr>
          <w:p w14:paraId="32D2A0C5">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Извештаји ЈКП, извештаји о животној средини</w:t>
            </w:r>
          </w:p>
        </w:tc>
      </w:tr>
      <w:tr w14:paraId="5C7C8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BFAC05F">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2DB2A101">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Проценат губитака воде у систему</w:t>
            </w:r>
          </w:p>
        </w:tc>
        <w:tc>
          <w:tcPr>
            <w:tcW w:w="0" w:type="auto"/>
          </w:tcPr>
          <w:p w14:paraId="38D76873">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процена: висок (&gt;45%)</w:t>
            </w:r>
          </w:p>
        </w:tc>
        <w:tc>
          <w:tcPr>
            <w:tcW w:w="0" w:type="auto"/>
          </w:tcPr>
          <w:p w14:paraId="3ACEC963">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смањење за најмање 8 процентних поена</w:t>
            </w:r>
          </w:p>
        </w:tc>
        <w:tc>
          <w:tcPr>
            <w:tcW w:w="0" w:type="auto"/>
          </w:tcPr>
          <w:p w14:paraId="2A10AAFD">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Извештаји ЈКП Водовод</w:t>
            </w:r>
          </w:p>
        </w:tc>
      </w:tr>
      <w:tr w14:paraId="71151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301868F1">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4. Урбано планирање и јавни простор</w:t>
            </w:r>
          </w:p>
        </w:tc>
        <w:tc>
          <w:tcPr>
            <w:tcW w:w="0" w:type="auto"/>
          </w:tcPr>
          <w:p w14:paraId="337EA91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реализованих пројеката унапређења јавних простора или микромобилности</w:t>
            </w:r>
          </w:p>
        </w:tc>
        <w:tc>
          <w:tcPr>
            <w:tcW w:w="0" w:type="auto"/>
          </w:tcPr>
          <w:p w14:paraId="1D28978B">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1</w:t>
            </w:r>
          </w:p>
        </w:tc>
        <w:tc>
          <w:tcPr>
            <w:tcW w:w="0" w:type="auto"/>
          </w:tcPr>
          <w:p w14:paraId="394A62F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3</w:t>
            </w:r>
          </w:p>
        </w:tc>
        <w:tc>
          <w:tcPr>
            <w:tcW w:w="0" w:type="auto"/>
          </w:tcPr>
          <w:p w14:paraId="75C3BC2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Извештаји Града, инвестициони планови</w:t>
            </w:r>
          </w:p>
        </w:tc>
      </w:tr>
      <w:tr w14:paraId="17F01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512EB28A">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07842AEF">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Проценат грађана задовољних квалитетом јавног простора</w:t>
            </w:r>
          </w:p>
        </w:tc>
        <w:tc>
          <w:tcPr>
            <w:tcW w:w="0" w:type="auto"/>
          </w:tcPr>
          <w:p w14:paraId="746FBB4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7D70BCA7">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повећање за најмање 15%</w:t>
            </w:r>
          </w:p>
        </w:tc>
        <w:tc>
          <w:tcPr>
            <w:tcW w:w="0" w:type="auto"/>
          </w:tcPr>
          <w:p w14:paraId="69024A7A">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Анкета грађана</w:t>
            </w:r>
          </w:p>
        </w:tc>
      </w:tr>
      <w:tr w14:paraId="6AFF9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706BCD1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5. Паметна решења у јавним услугама (образовање, здравство, култура, спорт)</w:t>
            </w:r>
          </w:p>
        </w:tc>
        <w:tc>
          <w:tcPr>
            <w:tcW w:w="0" w:type="auto"/>
          </w:tcPr>
          <w:p w14:paraId="72A76522">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установа које користе дигиталне системе (резервације, е-услуге, управљање ресурсима)</w:t>
            </w:r>
          </w:p>
        </w:tc>
        <w:tc>
          <w:tcPr>
            <w:tcW w:w="0" w:type="auto"/>
          </w:tcPr>
          <w:p w14:paraId="1ADFC6B6">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делимично</w:t>
            </w:r>
          </w:p>
        </w:tc>
        <w:tc>
          <w:tcPr>
            <w:tcW w:w="0" w:type="auto"/>
          </w:tcPr>
          <w:p w14:paraId="15D6E34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50% установа</w:t>
            </w:r>
          </w:p>
        </w:tc>
        <w:tc>
          <w:tcPr>
            <w:tcW w:w="0" w:type="auto"/>
          </w:tcPr>
          <w:p w14:paraId="6FD8CB64">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Извештаји установа, Град</w:t>
            </w:r>
          </w:p>
        </w:tc>
      </w:tr>
      <w:tr w14:paraId="36BFC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B4C55E2">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6A879E55">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корисника дигиталних услуга у јавним установама</w:t>
            </w:r>
          </w:p>
        </w:tc>
        <w:tc>
          <w:tcPr>
            <w:tcW w:w="0" w:type="auto"/>
          </w:tcPr>
          <w:p w14:paraId="6FD21DFC">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системски праћено</w:t>
            </w:r>
          </w:p>
        </w:tc>
        <w:tc>
          <w:tcPr>
            <w:tcW w:w="0" w:type="auto"/>
          </w:tcPr>
          <w:p w14:paraId="6AD5371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континуирани раст (нпр. +30%)</w:t>
            </w:r>
          </w:p>
        </w:tc>
        <w:tc>
          <w:tcPr>
            <w:tcW w:w="0" w:type="auto"/>
          </w:tcPr>
          <w:p w14:paraId="10AF78F3">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Евиденције установа</w:t>
            </w:r>
          </w:p>
        </w:tc>
      </w:tr>
      <w:tr w14:paraId="19530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75F6E466">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b/>
                <w:bCs/>
                <w:color w:val="000000" w:themeColor="text1"/>
                <w:kern w:val="0"/>
                <w:sz w:val="20"/>
                <w:szCs w:val="20"/>
                <w:lang w:val="sr-Cyrl-RS"/>
                <w14:textFill>
                  <w14:solidFill>
                    <w14:schemeClr w14:val="tx1"/>
                  </w14:solidFill>
                </w14:textFill>
              </w:rPr>
              <w:t>6. Дигитална управа, комуникација и подаци</w:t>
            </w:r>
          </w:p>
        </w:tc>
        <w:tc>
          <w:tcPr>
            <w:tcW w:w="0" w:type="auto"/>
          </w:tcPr>
          <w:p w14:paraId="1BA5201B">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доступних електронских услуга за грађане и привреду</w:t>
            </w:r>
          </w:p>
        </w:tc>
        <w:tc>
          <w:tcPr>
            <w:tcW w:w="0" w:type="auto"/>
          </w:tcPr>
          <w:p w14:paraId="28CD79D0">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процена: 5–10</w:t>
            </w:r>
          </w:p>
        </w:tc>
        <w:tc>
          <w:tcPr>
            <w:tcW w:w="0" w:type="auto"/>
          </w:tcPr>
          <w:p w14:paraId="6DC6D76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30</w:t>
            </w:r>
          </w:p>
        </w:tc>
        <w:tc>
          <w:tcPr>
            <w:tcW w:w="0" w:type="auto"/>
          </w:tcPr>
          <w:p w14:paraId="0042AF7D">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Одељење за ИКТ, Канцеларија за ИТ и еУправу</w:t>
            </w:r>
          </w:p>
        </w:tc>
      </w:tr>
      <w:tr w14:paraId="43AE1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216228CB">
            <w:pPr>
              <w:spacing w:after="0" w:line="240" w:lineRule="auto"/>
              <w:rPr>
                <w:rFonts w:ascii="Times New Roman" w:hAnsi="Times New Roman" w:eastAsia="Calibri" w:cs="Times New Roman"/>
                <w:b/>
                <w:bCs/>
                <w:color w:val="000000" w:themeColor="text1"/>
                <w:kern w:val="0"/>
                <w:sz w:val="20"/>
                <w:szCs w:val="20"/>
                <w:lang w:val="sr-Cyrl-RS"/>
                <w14:textFill>
                  <w14:solidFill>
                    <w14:schemeClr w14:val="tx1"/>
                  </w14:solidFill>
                </w14:textFill>
              </w:rPr>
            </w:pPr>
          </w:p>
        </w:tc>
        <w:tc>
          <w:tcPr>
            <w:tcW w:w="0" w:type="auto"/>
          </w:tcPr>
          <w:p w14:paraId="4DC3C4B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Повећање броја корисника електронских услуга</w:t>
            </w:r>
          </w:p>
        </w:tc>
        <w:tc>
          <w:tcPr>
            <w:tcW w:w="0" w:type="auto"/>
          </w:tcPr>
          <w:p w14:paraId="6A5EDC7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није мерено</w:t>
            </w:r>
          </w:p>
        </w:tc>
        <w:tc>
          <w:tcPr>
            <w:tcW w:w="0" w:type="auto"/>
          </w:tcPr>
          <w:p w14:paraId="543D040B">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150% у односу на 2026.</w:t>
            </w:r>
          </w:p>
        </w:tc>
        <w:tc>
          <w:tcPr>
            <w:tcW w:w="0" w:type="auto"/>
          </w:tcPr>
          <w:p w14:paraId="43D0FE07">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Одељење за ИКТ, Канцеларија за ИТ и еУправу</w:t>
            </w:r>
          </w:p>
        </w:tc>
      </w:tr>
      <w:tr w14:paraId="76A71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8FB3F08">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p>
        </w:tc>
        <w:tc>
          <w:tcPr>
            <w:tcW w:w="0" w:type="auto"/>
          </w:tcPr>
          <w:p w14:paraId="29ADCA5C">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Број објављених сетова података у машински читљивом формату</w:t>
            </w:r>
          </w:p>
        </w:tc>
        <w:tc>
          <w:tcPr>
            <w:tcW w:w="0" w:type="auto"/>
          </w:tcPr>
          <w:p w14:paraId="0B38E499">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0 или минимално</w:t>
            </w:r>
          </w:p>
        </w:tc>
        <w:tc>
          <w:tcPr>
            <w:tcW w:w="0" w:type="auto"/>
          </w:tcPr>
          <w:p w14:paraId="20A66566">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најмање 30</w:t>
            </w:r>
          </w:p>
        </w:tc>
        <w:tc>
          <w:tcPr>
            <w:tcW w:w="0" w:type="auto"/>
          </w:tcPr>
          <w:p w14:paraId="2A8CCD27">
            <w:pPr>
              <w:spacing w:after="0" w:line="240" w:lineRule="auto"/>
              <w:rPr>
                <w:rFonts w:ascii="Times New Roman" w:hAnsi="Times New Roman" w:eastAsia="Calibri" w:cs="Times New Roman"/>
                <w:color w:val="000000" w:themeColor="text1"/>
                <w:kern w:val="0"/>
                <w:sz w:val="20"/>
                <w:szCs w:val="20"/>
                <w:lang w:val="sr-Cyrl-RS"/>
                <w14:textFill>
                  <w14:solidFill>
                    <w14:schemeClr w14:val="tx1"/>
                  </w14:solidFill>
                </w14:textFill>
              </w:rPr>
            </w:pPr>
            <w:r>
              <w:rPr>
                <w:rFonts w:ascii="Times New Roman" w:hAnsi="Times New Roman" w:eastAsia="Calibri" w:cs="Times New Roman"/>
                <w:color w:val="000000" w:themeColor="text1"/>
                <w:kern w:val="0"/>
                <w:sz w:val="20"/>
                <w:szCs w:val="20"/>
                <w:lang w:val="sr-Cyrl-RS"/>
                <w14:textFill>
                  <w14:solidFill>
                    <w14:schemeClr w14:val="tx1"/>
                  </w14:solidFill>
                </w14:textFill>
              </w:rPr>
              <w:t>Портал отворених података</w:t>
            </w:r>
          </w:p>
        </w:tc>
      </w:tr>
    </w:tbl>
    <w:p w14:paraId="19223D59">
      <w:pPr>
        <w:spacing w:after="0" w:line="240" w:lineRule="auto"/>
        <w:rPr>
          <w:rFonts w:ascii="Times New Roman" w:hAnsi="Times New Roman" w:cs="Times New Roman"/>
          <w:sz w:val="22"/>
          <w:lang w:val="sr-Cyrl-RS" w:eastAsia="en-GB"/>
        </w:rPr>
      </w:pPr>
    </w:p>
    <w:p w14:paraId="794D60B8">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Учесталост праћења и извештавања</w:t>
      </w:r>
    </w:p>
    <w:p w14:paraId="2CC00761">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Праћење и извештавање о реализацији Плана спроводи се у складу са утврђеним временским оквирима. Основни циклуси праћења и извештавања обухватају:</w:t>
      </w:r>
    </w:p>
    <w:p w14:paraId="2F911F07">
      <w:pPr>
        <w:pStyle w:val="39"/>
        <w:numPr>
          <w:ilvl w:val="0"/>
          <w:numId w:val="35"/>
        </w:numPr>
        <w:spacing w:after="0" w:line="240" w:lineRule="auto"/>
        <w:contextualSpacing w:val="0"/>
        <w:rPr>
          <w:rFonts w:ascii="Times New Roman" w:hAnsi="Times New Roman" w:cs="Times New Roman"/>
          <w:lang w:val="sr-Cyrl-RS" w:eastAsia="en-GB"/>
        </w:rPr>
      </w:pPr>
      <w:r>
        <w:rPr>
          <w:rFonts w:ascii="Times New Roman" w:hAnsi="Times New Roman" w:cs="Times New Roman"/>
          <w:lang w:val="sr-Cyrl-RS" w:eastAsia="en-GB"/>
        </w:rPr>
        <w:t xml:space="preserve">квартално праћење реализације активности и мера, </w:t>
      </w:r>
    </w:p>
    <w:p w14:paraId="6DA787D0">
      <w:pPr>
        <w:pStyle w:val="39"/>
        <w:numPr>
          <w:ilvl w:val="0"/>
          <w:numId w:val="35"/>
        </w:numPr>
        <w:spacing w:after="0" w:line="240" w:lineRule="auto"/>
        <w:contextualSpacing w:val="0"/>
        <w:rPr>
          <w:rFonts w:ascii="Times New Roman" w:hAnsi="Times New Roman" w:cs="Times New Roman"/>
          <w:lang w:val="sr-Cyrl-RS" w:eastAsia="en-GB"/>
        </w:rPr>
      </w:pPr>
      <w:r>
        <w:rPr>
          <w:rFonts w:ascii="Times New Roman" w:hAnsi="Times New Roman" w:cs="Times New Roman"/>
          <w:lang w:val="sr-Cyrl-RS" w:eastAsia="en-GB"/>
        </w:rPr>
        <w:t xml:space="preserve">годишње извештавање о напретку у реализацији Плана, </w:t>
      </w:r>
    </w:p>
    <w:p w14:paraId="04656852">
      <w:pPr>
        <w:pStyle w:val="39"/>
        <w:numPr>
          <w:ilvl w:val="0"/>
          <w:numId w:val="35"/>
        </w:numPr>
        <w:spacing w:after="0" w:line="240" w:lineRule="auto"/>
        <w:contextualSpacing w:val="0"/>
        <w:rPr>
          <w:rFonts w:ascii="Times New Roman" w:hAnsi="Times New Roman" w:cs="Times New Roman"/>
          <w:lang w:val="sr-Cyrl-RS" w:eastAsia="en-GB"/>
        </w:rPr>
      </w:pPr>
      <w:r>
        <w:rPr>
          <w:rFonts w:ascii="Times New Roman" w:hAnsi="Times New Roman" w:cs="Times New Roman"/>
          <w:lang w:val="sr-Cyrl-RS" w:eastAsia="en-GB"/>
        </w:rPr>
        <w:t>средњорочну процену реализације Плана (2028. година), завршну процену реализације Плана (2030. година).</w:t>
      </w:r>
    </w:p>
    <w:p w14:paraId="31309694">
      <w:pPr>
        <w:pStyle w:val="39"/>
        <w:spacing w:after="0" w:line="240" w:lineRule="auto"/>
        <w:contextualSpacing w:val="0"/>
        <w:rPr>
          <w:rFonts w:ascii="Times New Roman" w:hAnsi="Times New Roman" w:cs="Times New Roman"/>
          <w:lang w:val="sr-Cyrl-RS" w:eastAsia="en-GB"/>
        </w:rPr>
      </w:pPr>
    </w:p>
    <w:p w14:paraId="125910CB">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Садржај извештаја о реализацији Плана</w:t>
      </w:r>
    </w:p>
    <w:p w14:paraId="782B79FB">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Извештаји о реализацији Плана припремају се на основу података о реализацији мера и постигнутим резултатима. Извештај о реализацији Плана може обухватити опис реализованих активности и пројеката, анализу постигнутих резултата и показатеља, идентификацију изазова и ризика, предлог корективних мера, план активности за наредни период.</w:t>
      </w:r>
    </w:p>
    <w:p w14:paraId="36F38A98">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Извештаји се достављају руководству града и надлежним органима, а по потреби се објављују на званичној веб презентацији града у циљу информисања јавности.</w:t>
      </w:r>
    </w:p>
    <w:p w14:paraId="51C520BD">
      <w:pPr>
        <w:spacing w:after="0" w:line="240" w:lineRule="auto"/>
        <w:jc w:val="both"/>
        <w:rPr>
          <w:rFonts w:ascii="Times New Roman" w:hAnsi="Times New Roman" w:cs="Times New Roman"/>
          <w:lang w:val="sr-Cyrl-RS" w:eastAsia="en-GB"/>
        </w:rPr>
      </w:pPr>
    </w:p>
    <w:p w14:paraId="286A6ED9">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Вредновање реализације Плана</w:t>
      </w:r>
    </w:p>
    <w:p w14:paraId="5BBAD7C1">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Вредновање реализације Плана спроводи се ради процене ефективности и утицаја реализованих мера и пројеката. Вредновање може обухватити анализу постигнутих резултата у односу на планиране циљеве, процену ефеката реализованих мера на квалитет живота грађана, процену ефикасности коришћења ресурса, идентификацију добрих пракси и научених лекција. Резултати вредновања користе се за унапређење реализације Плана, планирање нових мера и пројеката, прилагођавање активности потребама корисника, доношење стратешких одлука.</w:t>
      </w:r>
    </w:p>
    <w:p w14:paraId="78AC3B55">
      <w:pPr>
        <w:spacing w:after="0" w:line="240" w:lineRule="auto"/>
        <w:jc w:val="both"/>
        <w:rPr>
          <w:rFonts w:ascii="Times New Roman" w:hAnsi="Times New Roman" w:cs="Times New Roman"/>
          <w:lang w:val="sr-Cyrl-RS" w:eastAsia="en-GB"/>
        </w:rPr>
      </w:pPr>
    </w:p>
    <w:p w14:paraId="0F4E3CAF">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Унапређење и ажурирање Плана</w:t>
      </w:r>
    </w:p>
    <w:p w14:paraId="488A6B5F">
      <w:pPr>
        <w:spacing w:after="0" w:line="240" w:lineRule="auto"/>
        <w:jc w:val="both"/>
        <w:rPr>
          <w:rFonts w:ascii="Times New Roman" w:hAnsi="Times New Roman" w:cs="Times New Roman"/>
          <w:lang w:val="sr-Cyrl-RS" w:eastAsia="en-GB"/>
        </w:rPr>
      </w:pPr>
      <w:r>
        <w:rPr>
          <w:rFonts w:ascii="Times New Roman" w:hAnsi="Times New Roman" w:cs="Times New Roman"/>
          <w:lang w:val="sr-Cyrl-RS" w:eastAsia="en-GB"/>
        </w:rPr>
        <w:t>План дигиталне трансформације и развоја паметног града представља динамичан документ који се може прилагођавати у складу са новим потребама и технолошким развојем, као и специфичностима мера и пројеката који се реализују. Ажурирање Плана може се спроводити у случају значајних промена у приоритетима развоја града, појаве нових технологија и решења, промена у законском и институционалном оквиру, потребе за увођењем нових мера и пројеката, резултата праћења и вредновања, доступности и критеријумима екстерних извора финансирања.</w:t>
      </w:r>
    </w:p>
    <w:p w14:paraId="06419D22">
      <w:pPr>
        <w:spacing w:after="0" w:line="240" w:lineRule="auto"/>
        <w:jc w:val="both"/>
        <w:rPr>
          <w:rFonts w:ascii="Times New Roman" w:hAnsi="Times New Roman" w:cs="Times New Roman"/>
          <w:lang w:val="sr-Cyrl-RS" w:eastAsia="en-GB"/>
        </w:rPr>
      </w:pPr>
    </w:p>
    <w:p w14:paraId="6F4AB935">
      <w:pPr>
        <w:spacing w:after="0" w:line="240" w:lineRule="auto"/>
        <w:jc w:val="both"/>
        <w:rPr>
          <w:rFonts w:ascii="Times New Roman" w:hAnsi="Times New Roman" w:cs="Times New Roman"/>
          <w:lang w:val="sr-Cyrl-RS" w:eastAsia="en-GB"/>
        </w:rPr>
      </w:pPr>
    </w:p>
    <w:p w14:paraId="670327CA">
      <w:pPr>
        <w:spacing w:after="0" w:line="240" w:lineRule="auto"/>
        <w:jc w:val="both"/>
        <w:rPr>
          <w:rFonts w:ascii="Times New Roman" w:hAnsi="Times New Roman" w:cs="Times New Roman"/>
          <w:lang w:val="sr-Cyrl-RS" w:eastAsia="en-GB"/>
        </w:rPr>
      </w:pPr>
    </w:p>
    <w:p w14:paraId="76FC0C85">
      <w:pPr>
        <w:pStyle w:val="3"/>
        <w:spacing w:before="0" w:after="0" w:line="240" w:lineRule="auto"/>
        <w:rPr>
          <w:color w:val="auto"/>
          <w:lang w:val="sr-Cyrl-RS"/>
        </w:rPr>
      </w:pPr>
      <w:bookmarkStart w:id="22" w:name="_Toc229061127"/>
      <w:r>
        <w:rPr>
          <w:color w:val="auto"/>
          <w:lang w:val="sr-Cyrl-RS"/>
        </w:rPr>
        <w:t>3.4 Управљање ризицима</w:t>
      </w:r>
      <w:bookmarkEnd w:id="22"/>
    </w:p>
    <w:p w14:paraId="6D1F4A9B">
      <w:pPr>
        <w:spacing w:after="0" w:line="240" w:lineRule="auto"/>
        <w:jc w:val="both"/>
        <w:rPr>
          <w:rFonts w:ascii="Times New Roman" w:hAnsi="Times New Roman" w:eastAsia="Times New Roman" w:cs="Times New Roman"/>
          <w:kern w:val="0"/>
          <w:szCs w:val="22"/>
          <w:lang w:val="sr-Cyrl-RS" w:eastAsia="en-GB"/>
        </w:rPr>
      </w:pPr>
    </w:p>
    <w:p w14:paraId="111CD90F">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 xml:space="preserve">Успешна реализација Плана дигиталне трансформације и развоја паметног града захтева систематско управљање ризицима и обезбеђивање дугорочне одрживости реализованих мера и пројеката. Управљање ризицима подразумева рану идентификацију потенцијалних изазова, процену њиховог утицаја и предузимање мера за њихово ублажавање, док одрживост подразумева способност система и услуга да функционишу и након завршетка иницијалних инвестиција. </w:t>
      </w:r>
    </w:p>
    <w:p w14:paraId="3E852AD2">
      <w:pPr>
        <w:spacing w:after="0" w:line="240" w:lineRule="auto"/>
        <w:jc w:val="both"/>
        <w:rPr>
          <w:rFonts w:ascii="Times New Roman" w:hAnsi="Times New Roman" w:eastAsia="Times New Roman" w:cs="Times New Roman"/>
          <w:kern w:val="0"/>
          <w:szCs w:val="22"/>
          <w:lang w:val="sr-Cyrl-RS" w:eastAsia="en-GB"/>
        </w:rPr>
      </w:pPr>
    </w:p>
    <w:p w14:paraId="4B51562A">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Идентификација кључних ризика</w:t>
      </w:r>
    </w:p>
    <w:p w14:paraId="22E5FBDC">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Реализација Плана може бити изложена различитим врстама ризика који могу утицати на динамику и квалитет спровођења мера и пројеката. Кључни ризици могу обухватити:</w:t>
      </w:r>
      <w:r>
        <w:rPr>
          <w:rFonts w:ascii="Times New Roman" w:hAnsi="Times New Roman" w:eastAsia="Times New Roman" w:cs="Times New Roman"/>
          <w:kern w:val="0"/>
          <w:szCs w:val="22"/>
          <w:lang w:val="sr-Cyrl-RS" w:eastAsia="en-GB"/>
        </w:rPr>
        <w:br w:type="textWrapping"/>
      </w:r>
      <w:r>
        <w:rPr>
          <w:rFonts w:ascii="Times New Roman" w:hAnsi="Times New Roman" w:eastAsia="Times New Roman" w:cs="Times New Roman"/>
          <w:kern w:val="0"/>
          <w:szCs w:val="22"/>
          <w:lang w:val="sr-Cyrl-RS" w:eastAsia="en-GB"/>
        </w:rPr>
        <w:t>недовољна финансијска средства, ограничени кадровски и технички капацитети, кашњења у реализацији пројеката, неусклађеност техничких решења и стандарда, недовољна координација између институција, недовољна употреба дигиталних услуга од стране корисника, ризике у поступцима јавних набавки и управљања уговорима, ризике у области безбедности података и информационих система, изазове везане за интероперабилност делова система.</w:t>
      </w:r>
    </w:p>
    <w:p w14:paraId="5EAC9AE0">
      <w:pPr>
        <w:spacing w:after="0" w:line="240" w:lineRule="auto"/>
        <w:jc w:val="both"/>
        <w:rPr>
          <w:rFonts w:ascii="Times New Roman" w:hAnsi="Times New Roman" w:eastAsia="Times New Roman" w:cs="Times New Roman"/>
          <w:kern w:val="0"/>
          <w:szCs w:val="22"/>
          <w:lang w:val="sr-Cyrl-RS" w:eastAsia="en-GB"/>
        </w:rPr>
      </w:pPr>
    </w:p>
    <w:p w14:paraId="389185BE">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Мере за управљање ризицима</w:t>
      </w:r>
    </w:p>
    <w:p w14:paraId="30E31A8B">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У циљу смањења утицаја ризика, у процесу реализације Плана примењују се одговарајуће превентивне и корективне мере, као што су планирање реализације мера у складу са расположивим ресурсима, постепено теститање и увођење нових система и технологија, јачање кадровских капацитета кроз обуке и размену искустава, увођење стандарда и процедура за јавне набавке и управљање уговорима, редовно праћење реализације активности и показатеља, унапређење комуникације и координације између институција, обезбеђивање техничке подршке и одржавања система. Од посебне важности је и интеракција са добављачима паметних решења и опреме, као и размена искустава са другим локалним самоуправама у Србији и иностранству.</w:t>
      </w:r>
    </w:p>
    <w:p w14:paraId="1CEA0566">
      <w:pPr>
        <w:spacing w:after="0" w:line="240" w:lineRule="auto"/>
        <w:jc w:val="both"/>
        <w:rPr>
          <w:rFonts w:ascii="Times New Roman" w:hAnsi="Times New Roman" w:eastAsia="Times New Roman" w:cs="Times New Roman"/>
          <w:kern w:val="0"/>
          <w:szCs w:val="22"/>
          <w:lang w:val="sr-Cyrl-RS" w:eastAsia="en-GB"/>
        </w:rPr>
      </w:pPr>
    </w:p>
    <w:p w14:paraId="66CE2A61">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Одговорност за управљање ризицима</w:t>
      </w:r>
    </w:p>
    <w:p w14:paraId="0E3CC48D">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Одговорност за управљање ризицима у реализацији Плана имају све институције укључене у имплементацију мера и пројеката, у складу са својим надлежностима.</w:t>
      </w:r>
    </w:p>
    <w:p w14:paraId="4C4D0B9F">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Кључни носиоци управљања ризицима су Град Пирот, организационе јединице градске управе, јавна комунална предузећа, јавне установе, Координационо тело за дигиталну трансформацију и паметни град.</w:t>
      </w:r>
    </w:p>
    <w:p w14:paraId="42C3A7A8">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Основне активности у управљању ризицима обухватају идентификацију ризика, процену вероватноће и утицаја ризика, планирање мера за ублажавање ризика, праћење ризика током реализације пројеката, извештавање о ризицима и предузетим мерама.</w:t>
      </w:r>
    </w:p>
    <w:p w14:paraId="5B57EB54">
      <w:pPr>
        <w:spacing w:after="0" w:line="240" w:lineRule="auto"/>
        <w:jc w:val="both"/>
        <w:rPr>
          <w:rFonts w:ascii="Times New Roman" w:hAnsi="Times New Roman" w:eastAsia="Times New Roman" w:cs="Times New Roman"/>
          <w:kern w:val="0"/>
          <w:szCs w:val="22"/>
          <w:lang w:val="sr-Cyrl-RS" w:eastAsia="en-GB"/>
        </w:rPr>
      </w:pPr>
    </w:p>
    <w:p w14:paraId="12A37702">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Обезбеђивање одрживости реализованих решења</w:t>
      </w:r>
    </w:p>
    <w:p w14:paraId="774EA811">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Одрживост реализованих мера и пројеката подразумева обезбеђивање техничких, организационих и финансијских услова за дугорочно функционисање система и услуга. Кључни аспекти одрживости обухватају обезбеђивање средстава за одржавање система, континуирано унапређење техничке инфраструктуре, развој компетенција и кадровских капацитета за управљање системима, интеграцију нових решења у постојеће системе, прилагођавање система потребама корисника.</w:t>
      </w:r>
    </w:p>
    <w:p w14:paraId="496D362B">
      <w:pPr>
        <w:spacing w:after="0" w:line="240" w:lineRule="auto"/>
        <w:jc w:val="both"/>
        <w:rPr>
          <w:rFonts w:ascii="Times New Roman" w:hAnsi="Times New Roman" w:eastAsia="Times New Roman" w:cs="Times New Roman"/>
          <w:kern w:val="0"/>
          <w:szCs w:val="22"/>
          <w:lang w:val="sr-Cyrl-RS" w:eastAsia="en-GB"/>
        </w:rPr>
      </w:pPr>
    </w:p>
    <w:p w14:paraId="608AC4EF">
      <w:pPr>
        <w:spacing w:after="0" w:line="240" w:lineRule="auto"/>
        <w:rPr>
          <w:rFonts w:ascii="Times New Roman" w:hAnsi="Times New Roman" w:cs="Times New Roman"/>
          <w:b/>
          <w:lang w:val="sr-Cyrl-RS" w:eastAsia="en-GB"/>
        </w:rPr>
      </w:pPr>
    </w:p>
    <w:p w14:paraId="14E91297">
      <w:pPr>
        <w:spacing w:after="0" w:line="240" w:lineRule="auto"/>
        <w:rPr>
          <w:rFonts w:ascii="Times New Roman" w:hAnsi="Times New Roman" w:cs="Times New Roman"/>
          <w:b/>
          <w:lang w:val="sr-Cyrl-RS" w:eastAsia="en-GB"/>
        </w:rPr>
      </w:pPr>
    </w:p>
    <w:p w14:paraId="55D47917">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Финансијска одрживост Плана</w:t>
      </w:r>
    </w:p>
    <w:p w14:paraId="6453029E">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Финансијска одрживост Плана заснива се на планирању и рационалном коришћењу расположивих ресурса, као и на диверзификацији извора финансирања. Финансијска одрживост може се обезбедити кроз редовно планирање средстава у буџету града, коришћење националних и међународних фондова, развој партнерстава са приватним сектором, постепено увођење нових решења у складу са финансијским могућностима, оптимизацију трошкова управљања системима. Од посебне важности је TCO (Total Cost of Ownership) приступ, јер омогућава доносиоцима одлука да процене укупне трошкове система током целог његовог животног циклуса, укључујући набавку, одржавање, надоградњу и замену, те на основу тога изаберу финансијски и оперативно најодрживије решење.</w:t>
      </w:r>
    </w:p>
    <w:p w14:paraId="7DBCFF1C">
      <w:pPr>
        <w:spacing w:after="0" w:line="240" w:lineRule="auto"/>
        <w:jc w:val="both"/>
        <w:rPr>
          <w:rFonts w:ascii="Times New Roman" w:hAnsi="Times New Roman" w:eastAsia="Times New Roman" w:cs="Times New Roman"/>
          <w:kern w:val="0"/>
          <w:szCs w:val="22"/>
          <w:lang w:val="sr-Cyrl-RS" w:eastAsia="en-GB"/>
        </w:rPr>
      </w:pPr>
    </w:p>
    <w:p w14:paraId="71EE5198">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Техничка и институционална одрживост</w:t>
      </w:r>
    </w:p>
    <w:p w14:paraId="1801AE0E">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Техничка и институционална одрживост подразумева обезбеђивање континуитета рада система и институција које су задужене за реализацију Плана. Техничка и институционална одрживост може обухватити успостављање процедура за одржавање система, обезбеђивање техничке подршке и сервисирања опреме, редовно ажурирање софтвера и система, унапређење организације рада, континуирано унапређење знања и вештина запослених.</w:t>
      </w:r>
    </w:p>
    <w:p w14:paraId="72E64E4B">
      <w:pPr>
        <w:spacing w:after="0" w:line="240" w:lineRule="auto"/>
        <w:jc w:val="both"/>
        <w:rPr>
          <w:rFonts w:ascii="Times New Roman" w:hAnsi="Times New Roman" w:eastAsia="Times New Roman" w:cs="Times New Roman"/>
          <w:kern w:val="0"/>
          <w:szCs w:val="22"/>
          <w:lang w:val="sr-Cyrl-RS" w:eastAsia="en-GB"/>
        </w:rPr>
      </w:pPr>
    </w:p>
    <w:p w14:paraId="0CE52538">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Континуирано унапређење и прилагођавање Плана</w:t>
      </w:r>
    </w:p>
    <w:p w14:paraId="790DA262">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План дигиталне трансформације и развоја паметног града представља флексибилан документ који се може прилагођавати у складу са технолошким развојем, потребама корисника и расположивим ресурсима. Континуирано унапређење Плана може обухватити редовно праћење резултата и показатеља, увођење нових технологија и решења, унапређење постојећих услуга, прилагођавање активности потребама грађана и привреде, размену искустава са другим градовима.</w:t>
      </w:r>
    </w:p>
    <w:p w14:paraId="10ABFBF3">
      <w:pPr>
        <w:spacing w:after="0" w:line="240" w:lineRule="auto"/>
        <w:jc w:val="both"/>
        <w:rPr>
          <w:rFonts w:ascii="Times New Roman" w:hAnsi="Times New Roman" w:eastAsia="Times New Roman" w:cs="Times New Roman"/>
          <w:kern w:val="0"/>
          <w:szCs w:val="22"/>
          <w:lang w:val="sr-Cyrl-RS" w:eastAsia="en-GB"/>
        </w:rPr>
      </w:pPr>
    </w:p>
    <w:p w14:paraId="76D6E609">
      <w:pPr>
        <w:spacing w:after="0" w:line="240" w:lineRule="auto"/>
        <w:rPr>
          <w:lang w:val="sr-Cyrl-RS"/>
        </w:rPr>
      </w:pPr>
    </w:p>
    <w:p w14:paraId="377102C6">
      <w:pPr>
        <w:pStyle w:val="3"/>
        <w:spacing w:before="0" w:after="0" w:line="240" w:lineRule="auto"/>
        <w:rPr>
          <w:color w:val="auto"/>
          <w:lang w:val="sr-Cyrl-RS"/>
        </w:rPr>
      </w:pPr>
      <w:bookmarkStart w:id="23" w:name="_Toc229061128"/>
      <w:r>
        <w:rPr>
          <w:rStyle w:val="27"/>
          <w:b/>
          <w:bCs w:val="0"/>
          <w:color w:val="auto"/>
          <w:lang w:val="sr-Cyrl-RS"/>
        </w:rPr>
        <w:t>3.5</w:t>
      </w:r>
      <w:r>
        <w:rPr>
          <w:color w:val="auto"/>
          <w:lang w:val="sr-Cyrl-RS"/>
        </w:rPr>
        <w:t xml:space="preserve"> </w:t>
      </w:r>
      <w:r>
        <w:rPr>
          <w:rStyle w:val="27"/>
          <w:b/>
          <w:bCs w:val="0"/>
          <w:color w:val="auto"/>
          <w:lang w:val="sr-Cyrl-RS"/>
        </w:rPr>
        <w:t>План комуникације</w:t>
      </w:r>
      <w:bookmarkEnd w:id="23"/>
    </w:p>
    <w:p w14:paraId="67DD44A7">
      <w:pPr>
        <w:spacing w:after="0" w:line="240" w:lineRule="auto"/>
        <w:jc w:val="both"/>
        <w:rPr>
          <w:rFonts w:ascii="Times New Roman" w:hAnsi="Times New Roman" w:eastAsia="Times New Roman" w:cs="Times New Roman"/>
          <w:kern w:val="0"/>
          <w:sz w:val="22"/>
          <w:szCs w:val="22"/>
          <w:lang w:val="sr-Cyrl-RS" w:eastAsia="en-GB"/>
        </w:rPr>
      </w:pPr>
    </w:p>
    <w:p w14:paraId="3AA913C6">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Ефикасна реализација Плана дигиталне трансформације и развоја паметног града захтева континуирану и систематску комуникацију са грађанима, привредом, институцијама и другим заинтересованим странама. План комуникације има за циљ да обезбеди благовремено информисање јавности о активностима, резултатима и користима од примене паметних решења, као и да подстакне активно учешће корисника у процесу дигиталне трансформације.</w:t>
      </w:r>
    </w:p>
    <w:p w14:paraId="03686727">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Комуникација се заснива на принципима транспарентности, доступности информација, двосмерне комуникације и укључивања заинтересованих страна у процес доношења одлука.</w:t>
      </w:r>
    </w:p>
    <w:p w14:paraId="5188D50A">
      <w:pPr>
        <w:spacing w:after="0" w:line="240" w:lineRule="auto"/>
        <w:jc w:val="both"/>
        <w:rPr>
          <w:rFonts w:ascii="Times New Roman" w:hAnsi="Times New Roman" w:eastAsia="Times New Roman" w:cs="Times New Roman"/>
          <w:kern w:val="0"/>
          <w:szCs w:val="22"/>
          <w:lang w:val="sr-Cyrl-RS" w:eastAsia="en-GB"/>
        </w:rPr>
      </w:pPr>
    </w:p>
    <w:p w14:paraId="4C795EC0">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Циљеви комуникације</w:t>
      </w:r>
    </w:p>
    <w:p w14:paraId="6734C43D">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Основни циљеви комуникације у процесу реализације Плана су информисање грађана и привреде о активностима и резултатима Плана, повећање поверења у институције и дигиталне услуге, подстицање коришћења електронских услуга и паметних решења, укључивање грађана у процес доношења одлука, унапређење транспарентности рада локалне самоуправе.</w:t>
      </w:r>
    </w:p>
    <w:p w14:paraId="233B8322">
      <w:pPr>
        <w:spacing w:after="0" w:line="240" w:lineRule="auto"/>
        <w:jc w:val="both"/>
        <w:rPr>
          <w:rFonts w:ascii="Times New Roman" w:hAnsi="Times New Roman" w:eastAsia="Times New Roman" w:cs="Times New Roman"/>
          <w:kern w:val="0"/>
          <w:szCs w:val="22"/>
          <w:lang w:val="sr-Cyrl-RS" w:eastAsia="en-GB"/>
        </w:rPr>
      </w:pPr>
    </w:p>
    <w:p w14:paraId="2714AD38">
      <w:pPr>
        <w:spacing w:after="0" w:line="240" w:lineRule="auto"/>
        <w:rPr>
          <w:rFonts w:ascii="Times New Roman" w:hAnsi="Times New Roman" w:cs="Times New Roman"/>
          <w:b/>
          <w:lang w:val="sr-Cyrl-RS" w:eastAsia="en-GB"/>
        </w:rPr>
      </w:pPr>
    </w:p>
    <w:p w14:paraId="4316C928">
      <w:pPr>
        <w:spacing w:after="0" w:line="240" w:lineRule="auto"/>
        <w:rPr>
          <w:rFonts w:ascii="Times New Roman" w:hAnsi="Times New Roman" w:cs="Times New Roman"/>
          <w:b/>
          <w:lang w:val="sr-Cyrl-RS" w:eastAsia="en-GB"/>
        </w:rPr>
      </w:pPr>
    </w:p>
    <w:p w14:paraId="71D9B966">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Циљне групе комуникације</w:t>
      </w:r>
    </w:p>
    <w:p w14:paraId="4CFD1B47">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Комуникација у оквиру Плана усмерена је ка различитим групама корисника и заинтересованих страна. Кључне циљне групе обухватају грађане, привредне субјекте, јавна комунална предузећа, јавне установе, организације цивилног друштва, медије, образовне институције, туристе и посетиоце града, надлежне институције и донаторске организације.</w:t>
      </w:r>
    </w:p>
    <w:p w14:paraId="0C662D28">
      <w:pPr>
        <w:spacing w:after="0" w:line="240" w:lineRule="auto"/>
        <w:jc w:val="both"/>
        <w:rPr>
          <w:rFonts w:ascii="Times New Roman" w:hAnsi="Times New Roman" w:eastAsia="Times New Roman" w:cs="Times New Roman"/>
          <w:kern w:val="0"/>
          <w:szCs w:val="22"/>
          <w:lang w:val="sr-Cyrl-RS" w:eastAsia="en-GB"/>
        </w:rPr>
      </w:pPr>
    </w:p>
    <w:p w14:paraId="66153B4E">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Кључне поруке комуникације</w:t>
      </w:r>
    </w:p>
    <w:p w14:paraId="6FF0624D">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Комуникација у оквиру Плана заснива се на јасним и разумљивим порукама које истичу користи од дигиталне трансформације и паметних решења. Кључне поруке могу обухватити унапређење квалитета живота грађана, ефикасније и доступније јавне услуге, уштеде времена и ресурса, већа транспарентност рада институција, заштита животне средине и одрживи развој града, развој модерног и дигитално напредног града.</w:t>
      </w:r>
    </w:p>
    <w:p w14:paraId="1BEB555F">
      <w:pPr>
        <w:spacing w:after="0" w:line="240" w:lineRule="auto"/>
        <w:jc w:val="both"/>
        <w:rPr>
          <w:rFonts w:ascii="Times New Roman" w:hAnsi="Times New Roman" w:eastAsia="Times New Roman" w:cs="Times New Roman"/>
          <w:kern w:val="0"/>
          <w:szCs w:val="22"/>
          <w:lang w:val="sr-Cyrl-RS" w:eastAsia="en-GB"/>
        </w:rPr>
      </w:pPr>
    </w:p>
    <w:p w14:paraId="1006D5E4">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Канали комуникације</w:t>
      </w:r>
    </w:p>
    <w:p w14:paraId="7C18E059">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Кључни канали комуникације обухватају званичну веб презентацију града, специјализовану страницу или портал који обухвата све садржаје паметног града, друштвене мреже, локалне медије, јавне догађаје и презентације, информативне кампање, мобилне апликације, електронску пошту и SMS обавештења, информативне пунктове и сервисне центре.</w:t>
      </w:r>
    </w:p>
    <w:p w14:paraId="57C25E60">
      <w:pPr>
        <w:spacing w:after="0" w:line="240" w:lineRule="auto"/>
        <w:jc w:val="both"/>
        <w:rPr>
          <w:rFonts w:ascii="Times New Roman" w:hAnsi="Times New Roman" w:eastAsia="Times New Roman" w:cs="Times New Roman"/>
          <w:kern w:val="0"/>
          <w:szCs w:val="22"/>
          <w:lang w:val="sr-Cyrl-RS" w:eastAsia="en-GB"/>
        </w:rPr>
      </w:pPr>
    </w:p>
    <w:p w14:paraId="4A166F3D">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Комуникационе активности</w:t>
      </w:r>
    </w:p>
    <w:p w14:paraId="44004B25">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Кључне активности могу обухватити информисање јавности о новим услугама и пројектима, организацију јавних презентација и радионица, објављивање информација о резултатима и ефектима мера, спровођење информативних кампања, прикупљање повратних информација од корисника, промоцију добрих пракси и успешних пројеката, годишње конференције и догађаје који окупљају јавни, приватни и академски сектор.</w:t>
      </w:r>
    </w:p>
    <w:p w14:paraId="11D4C744">
      <w:pPr>
        <w:spacing w:after="0" w:line="240" w:lineRule="auto"/>
        <w:jc w:val="both"/>
        <w:rPr>
          <w:rFonts w:ascii="Times New Roman" w:hAnsi="Times New Roman" w:eastAsia="Times New Roman" w:cs="Times New Roman"/>
          <w:kern w:val="0"/>
          <w:szCs w:val="22"/>
          <w:lang w:val="sr-Cyrl-RS" w:eastAsia="en-GB"/>
        </w:rPr>
      </w:pPr>
    </w:p>
    <w:p w14:paraId="3B081F38">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Улоге и одговорности у комуникацији</w:t>
      </w:r>
    </w:p>
    <w:p w14:paraId="10F268E1">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Кључни носиоци комуникације су Град Пирот и кабинет градоначелника, организационе јединице градске управе, јавна комунална предузећа, јавне установе, Координационо тело за дигиталну трансформацију и паметни град.</w:t>
      </w:r>
    </w:p>
    <w:p w14:paraId="3EAE4892">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Основне одговорности у области комуникације обухватају припрему и објављивање информација, координацију комуникационих активности, праћење реакција јавности, сарадњу са медијима, обезбеђивање транспарентности рада институција.</w:t>
      </w:r>
    </w:p>
    <w:p w14:paraId="2629B2B5">
      <w:pPr>
        <w:spacing w:after="0" w:line="240" w:lineRule="auto"/>
        <w:jc w:val="both"/>
        <w:rPr>
          <w:rFonts w:ascii="Times New Roman" w:hAnsi="Times New Roman" w:eastAsia="Times New Roman" w:cs="Times New Roman"/>
          <w:kern w:val="0"/>
          <w:szCs w:val="22"/>
          <w:lang w:val="sr-Cyrl-RS" w:eastAsia="en-GB"/>
        </w:rPr>
      </w:pPr>
    </w:p>
    <w:p w14:paraId="35D740E6">
      <w:pPr>
        <w:spacing w:after="0" w:line="240" w:lineRule="auto"/>
        <w:rPr>
          <w:rFonts w:ascii="Times New Roman" w:hAnsi="Times New Roman" w:cs="Times New Roman"/>
          <w:b/>
          <w:lang w:val="sr-Cyrl-RS" w:eastAsia="en-GB"/>
        </w:rPr>
      </w:pPr>
      <w:r>
        <w:rPr>
          <w:rFonts w:ascii="Times New Roman" w:hAnsi="Times New Roman" w:cs="Times New Roman"/>
          <w:b/>
          <w:lang w:val="sr-Cyrl-RS" w:eastAsia="en-GB"/>
        </w:rPr>
        <w:t>Праћење ефеката комуникације</w:t>
      </w:r>
    </w:p>
    <w:p w14:paraId="6E9703C3">
      <w:pPr>
        <w:spacing w:after="0" w:line="240" w:lineRule="auto"/>
        <w:jc w:val="both"/>
        <w:rPr>
          <w:rFonts w:ascii="Times New Roman" w:hAnsi="Times New Roman" w:eastAsia="Times New Roman" w:cs="Times New Roman"/>
          <w:kern w:val="0"/>
          <w:szCs w:val="22"/>
          <w:lang w:val="sr-Cyrl-RS" w:eastAsia="en-GB"/>
        </w:rPr>
      </w:pPr>
      <w:r>
        <w:rPr>
          <w:rFonts w:ascii="Times New Roman" w:hAnsi="Times New Roman" w:eastAsia="Times New Roman" w:cs="Times New Roman"/>
          <w:kern w:val="0"/>
          <w:szCs w:val="22"/>
          <w:lang w:val="sr-Cyrl-RS" w:eastAsia="en-GB"/>
        </w:rPr>
        <w:t>Праћење ефеката комуникације омогућава процену успешности комуникационих активности и прилагођавање приступа потребама корисника. Кључни показатељи комуникације могу обухватити број објављених информација и саопштења, број посета веб презентацији града, број корисника електронских услуга, број учесника у јавним догађајима и обукама, ниво задовољства корисника услугама.</w:t>
      </w:r>
    </w:p>
    <w:p w14:paraId="1FEC7127">
      <w:pPr>
        <w:rPr>
          <w:rFonts w:ascii="Times New Roman" w:hAnsi="Times New Roman" w:cs="Times New Roman" w:eastAsiaTheme="majorEastAsia"/>
          <w:b/>
          <w:bCs/>
          <w:color w:val="000000" w:themeColor="text1"/>
          <w:sz w:val="40"/>
          <w:szCs w:val="40"/>
          <w:lang w:val="sr-Cyrl-RS"/>
          <w14:textFill>
            <w14:solidFill>
              <w14:schemeClr w14:val="tx1"/>
            </w14:solidFill>
          </w14:textFill>
        </w:rPr>
      </w:pPr>
      <w:r>
        <w:rPr>
          <w:color w:val="000000" w:themeColor="text1"/>
          <w:lang w:val="sr-Cyrl-RS"/>
          <w14:textFill>
            <w14:solidFill>
              <w14:schemeClr w14:val="tx1"/>
            </w14:solidFill>
          </w14:textFill>
        </w:rPr>
        <w:br w:type="page"/>
      </w:r>
    </w:p>
    <w:p w14:paraId="78AAB5B0">
      <w:pPr>
        <w:pStyle w:val="2"/>
        <w:tabs>
          <w:tab w:val="left" w:pos="1418"/>
        </w:tabs>
        <w:rPr>
          <w:color w:val="000000" w:themeColor="text1"/>
          <w:lang w:val="sr-Cyrl-RS"/>
          <w14:textFill>
            <w14:solidFill>
              <w14:schemeClr w14:val="tx1"/>
            </w14:solidFill>
          </w14:textFill>
        </w:rPr>
      </w:pPr>
      <w:bookmarkStart w:id="24" w:name="_Toc229061129"/>
      <w:r>
        <w:rPr>
          <w:color w:val="000000" w:themeColor="text1"/>
          <w:lang w:val="sr-Cyrl-RS"/>
          <w14:textFill>
            <w14:solidFill>
              <w14:schemeClr w14:val="tx1"/>
            </w14:solidFill>
          </w14:textFill>
        </w:rPr>
        <w:t>4. Мере, пројекти и паметна решења</w:t>
      </w:r>
      <w:bookmarkEnd w:id="24"/>
    </w:p>
    <w:p w14:paraId="692CD322">
      <w:pPr>
        <w:rPr>
          <w:b/>
          <w:lang w:val="sr-Cyrl-RS"/>
        </w:rPr>
      </w:pPr>
      <w:r>
        <w:rPr>
          <w:b/>
          <w:lang w:val="sr-Cyrl-RS"/>
        </w:rPr>
        <w:t xml:space="preserve">Приоритетна област 1: Паметна привреда </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18204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BB27D33">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1.1</w:t>
            </w:r>
          </w:p>
          <w:p w14:paraId="3979FE5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Подстицаји за иновације, предузетништво и примену дигиталних технологија у локалној привреди</w:t>
            </w:r>
          </w:p>
        </w:tc>
      </w:tr>
      <w:tr w14:paraId="7D2BE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9F457D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p>
          <w:p w14:paraId="1DDB327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1.1.1 Финансијска подршка дигиталној трансформацији ММСП</w:t>
            </w:r>
          </w:p>
        </w:tc>
      </w:tr>
      <w:tr w14:paraId="3A2A6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8E81A0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1B3BF5B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интегрисаног система финансијске подршке микро, малим и средњим предузећима у циљу унапређења дигиталне зрелости, повећања продуктивности и развоја паметних производа и услуга.</w:t>
            </w:r>
          </w:p>
          <w:p w14:paraId="664EE9B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обухвата субвенције за дигитализацију пословних процеса, набавку паметне производне и ИКТ опреме, развој софтверских решења, као и разматрање оснивања локалног Фонда за дигитализацију и паметна решења као институционалног инструмента одрживе подршке.</w:t>
            </w:r>
          </w:p>
          <w:p w14:paraId="7C67EE3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 је јачање конкурентности локалне привреде, подстицање иновација и развој дигиталног екосистема Пирота.</w:t>
            </w:r>
          </w:p>
        </w:tc>
      </w:tr>
      <w:tr w14:paraId="7A379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08FD979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1.1.1:</w:t>
            </w:r>
          </w:p>
          <w:p w14:paraId="03AD9743">
            <w:pPr>
              <w:pStyle w:val="39"/>
              <w:numPr>
                <w:ilvl w:val="0"/>
                <w:numId w:val="3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Програма финансијске подршке дигиталној трансформацији ММСП (критеријуми, приоритети, проценат суфинансирања, лимити).</w:t>
            </w:r>
          </w:p>
          <w:p w14:paraId="35908E2D">
            <w:pPr>
              <w:pStyle w:val="39"/>
              <w:numPr>
                <w:ilvl w:val="0"/>
                <w:numId w:val="3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Спровођење годишњег јавног позива за доделу субвенција.</w:t>
            </w:r>
          </w:p>
          <w:p w14:paraId="05AB2DF7">
            <w:pPr>
              <w:pStyle w:val="39"/>
              <w:numPr>
                <w:ilvl w:val="0"/>
                <w:numId w:val="3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Субвенционисање:</w:t>
            </w:r>
          </w:p>
          <w:p w14:paraId="130F1980">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увођења ERP/CRM система,</w:t>
            </w:r>
          </w:p>
          <w:p w14:paraId="455202E4">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дигитализације производних процеса (IoT, аутоматизација),</w:t>
            </w:r>
          </w:p>
          <w:p w14:paraId="7645B1ED">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набавке паметне опреме и софтвера,</w:t>
            </w:r>
          </w:p>
          <w:p w14:paraId="0E2E2EBA">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развоја сопствених дигиталних производа и апликација.</w:t>
            </w:r>
          </w:p>
          <w:p w14:paraId="1CC34A8C">
            <w:pPr>
              <w:pStyle w:val="39"/>
              <w:numPr>
                <w:ilvl w:val="0"/>
                <w:numId w:val="3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Обезбеђивање техничке подршке корисницима (саветодавна подршка при припреми пројеката).</w:t>
            </w:r>
          </w:p>
          <w:p w14:paraId="0B0FA073">
            <w:pPr>
              <w:pStyle w:val="39"/>
              <w:numPr>
                <w:ilvl w:val="0"/>
                <w:numId w:val="3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механизма праћења ефеката (праћење кључних показатеља – раст прихода, продуктивност, нова радна места).</w:t>
            </w:r>
          </w:p>
          <w:p w14:paraId="7DE94CE3">
            <w:pPr>
              <w:pStyle w:val="39"/>
              <w:numPr>
                <w:ilvl w:val="0"/>
                <w:numId w:val="3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Повезивање програма са националним и међународним фондовима (Фонд за иновациону делатност, EU програми, донаторски механизми).</w:t>
            </w:r>
          </w:p>
        </w:tc>
      </w:tr>
      <w:tr w14:paraId="471CC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1F09F5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____________ЕУР (период 2026–2030, у зависности од обима фонда и броја корисника)</w:t>
            </w:r>
          </w:p>
        </w:tc>
      </w:tr>
      <w:tr w14:paraId="7C7E8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702AB9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привреде; Фонд за иновациону делатност; EU програми (IPA, Horizon Europe – посредно); Развојне банке; Донаторски програми; Јавно-приватна партнерства</w:t>
            </w:r>
          </w:p>
        </w:tc>
      </w:tr>
      <w:tr w14:paraId="593CB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C75409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локални економски развој)</w:t>
            </w:r>
          </w:p>
        </w:tc>
      </w:tr>
      <w:tr w14:paraId="2B712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8B1E37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Регионална привредна комора; НАЛЕД; Развојна агенција; Локална ИТ заједница; Фонд за иновациону делатност; Универзитети/факултети; Банкарски сектор</w:t>
            </w:r>
          </w:p>
        </w:tc>
      </w:tr>
      <w:tr w14:paraId="3CDB0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F67D17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Микро, мала и средња предузећа; Стартапи; Производни сектор; ИТ компаније</w:t>
            </w:r>
          </w:p>
        </w:tc>
      </w:tr>
      <w:tr w14:paraId="3C7F5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A59298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успостављање програма и фонда;</w:t>
            </w:r>
          </w:p>
          <w:p w14:paraId="099BE3D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2027–2030 – годишњи јавни позиви и праћење ефеката.</w:t>
            </w:r>
          </w:p>
        </w:tc>
      </w:tr>
      <w:tr w14:paraId="3AAEB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B53F7F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5F5CC60D">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Усвојен Програм финансијске подршке</w:t>
            </w:r>
          </w:p>
          <w:p w14:paraId="0526BC5D">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подржаних ММСП (минимум 20 до 2030.)</w:t>
            </w:r>
          </w:p>
          <w:p w14:paraId="3A14F4E2">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Укупна вредност суфинансираних пројеката</w:t>
            </w:r>
          </w:p>
          <w:p w14:paraId="51034550">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корисника који су увели нове дигиталне системе</w:t>
            </w:r>
          </w:p>
          <w:p w14:paraId="0586E548">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Пораст продуктивности/прихода код подржаних ММСП</w:t>
            </w:r>
          </w:p>
          <w:p w14:paraId="2316BF1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новоотворених радних места у дигиталном сектору</w:t>
            </w:r>
          </w:p>
        </w:tc>
      </w:tr>
    </w:tbl>
    <w:p w14:paraId="5AF24404">
      <w:pPr>
        <w:spacing w:after="0" w:line="240" w:lineRule="auto"/>
        <w:rPr>
          <w:sz w:val="22"/>
          <w:szCs w:val="22"/>
          <w:lang w:val="sr-Cyrl-RS"/>
        </w:rPr>
      </w:pPr>
    </w:p>
    <w:p w14:paraId="6D952422">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7F2E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D981867">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1.1</w:t>
            </w:r>
          </w:p>
          <w:p w14:paraId="1EECD83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Подстицаји за иновације, предузетништво и примену дигиталних технологија у локалној привреди</w:t>
            </w:r>
          </w:p>
        </w:tc>
      </w:tr>
      <w:tr w14:paraId="0449B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35B979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p>
          <w:p w14:paraId="2BD422D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1.1.2 Оснивање локалног Фонда за дигитализацију и паметна решења, као институционални инструмент за развој локалног дигиталног и ИТ екосистема (подстицаје за ИТ фирме, обезбеђивање простора (coworking / hub), повезивање ИТ сектора и традиционалне привреде)</w:t>
            </w:r>
          </w:p>
        </w:tc>
      </w:tr>
      <w:tr w14:paraId="0BB02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BEDC84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0C28C34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успостављање институционалног механизма за систематску и дугорочну подршку дигиталној трансформацији локалне привреде, развоју иновација и примену паметних технологија у производњи, услугама и јавном сектору.</w:t>
            </w:r>
          </w:p>
          <w:p w14:paraId="12D75355">
            <w:pPr>
              <w:spacing w:after="0" w:line="240" w:lineRule="auto"/>
              <w:rPr>
                <w:rFonts w:ascii="Times New Roman" w:hAnsi="Times New Roman" w:cs="Times New Roman"/>
                <w:sz w:val="22"/>
                <w:szCs w:val="22"/>
                <w:lang w:val="sr-Cyrl-RS"/>
              </w:rPr>
            </w:pPr>
          </w:p>
          <w:p w14:paraId="69A498A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Оснивање локалног Програма за дигитализацију и паметна решења омогућиће финансирање пројеката који доприносе повећању продуктивности, увођењу нових технологија, развоју дигиталних производа и унапређењу конкурентности локалних предузећа.</w:t>
            </w:r>
          </w:p>
          <w:p w14:paraId="6A802D88">
            <w:pPr>
              <w:spacing w:after="0" w:line="240" w:lineRule="auto"/>
              <w:rPr>
                <w:rFonts w:ascii="Times New Roman" w:hAnsi="Times New Roman" w:cs="Times New Roman"/>
                <w:sz w:val="22"/>
                <w:szCs w:val="22"/>
                <w:lang w:val="sr-Cyrl-RS"/>
              </w:rPr>
            </w:pPr>
          </w:p>
          <w:p w14:paraId="525F9A7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Програм ће функционисати као флексибилан инструмент који може обезбедити различите облике подршке, укључујући бесповратна средства, суфинансирање инвестиција, подршку развоју иновативних решења и финансирање пилот-пројеката у области дигитализације.</w:t>
            </w:r>
          </w:p>
          <w:p w14:paraId="38B59BD3">
            <w:pPr>
              <w:spacing w:after="0" w:line="240" w:lineRule="auto"/>
              <w:rPr>
                <w:rFonts w:ascii="Times New Roman" w:hAnsi="Times New Roman" w:cs="Times New Roman"/>
                <w:sz w:val="22"/>
                <w:szCs w:val="22"/>
                <w:lang w:val="sr-Cyrl-RS"/>
              </w:rPr>
            </w:pPr>
          </w:p>
          <w:p w14:paraId="2A27CA4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Посебан фокус мере је на подстицању дигиталне трансформације локалне привреде, развоју иновација и нових технологија, подршци стартапима и предузетницима, јачању сарадње између привреде, образовних институција и јавног сектора, развоју локалног дигиталног екосистема. </w:t>
            </w:r>
          </w:p>
          <w:p w14:paraId="538759A9">
            <w:pPr>
              <w:spacing w:after="0" w:line="240" w:lineRule="auto"/>
              <w:rPr>
                <w:rFonts w:ascii="Times New Roman" w:hAnsi="Times New Roman" w:cs="Times New Roman"/>
                <w:sz w:val="22"/>
                <w:szCs w:val="22"/>
                <w:lang w:val="sr-Cyrl-RS"/>
              </w:rPr>
            </w:pPr>
          </w:p>
          <w:p w14:paraId="0A8782C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ће се реализовати постепено, уз могућност прилагођавања модела рада програма у складу са потребама привреде и расположивим финансијским ресурсима.</w:t>
            </w:r>
          </w:p>
        </w:tc>
      </w:tr>
      <w:tr w14:paraId="67C39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0010FF3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1.1.2:</w:t>
            </w:r>
          </w:p>
          <w:p w14:paraId="271BD831">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досадашњих резултата и потреба локалне привреде за финансијском подршком у области дигитализације и иновација.</w:t>
            </w:r>
          </w:p>
          <w:p w14:paraId="7241A944">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концепта и модела функционисања локалног Програма за дигитализацију и паметна решења, као и других инструмената подршке (простор, промоција, други ресурси).</w:t>
            </w:r>
          </w:p>
          <w:p w14:paraId="5C077888">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Дефинисање правног и организационог оквира за оснивање/унапређење програма.</w:t>
            </w:r>
          </w:p>
          <w:p w14:paraId="25A7E9BA">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Обезбеђивање почетних финансијских средстава за рад програма.</w:t>
            </w:r>
          </w:p>
          <w:p w14:paraId="35BE42C3">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Усвајање одлуке о оснивању програма и успостављање управљачке структуре.</w:t>
            </w:r>
          </w:p>
          <w:p w14:paraId="5F140389">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Развој програма финансијске подршке за дигитализацију и иновације у локалној привреди.</w:t>
            </w:r>
          </w:p>
          <w:p w14:paraId="1DD890AA">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Расписивање јавних позива за финансирање пројеката дигитализације и паметних решења.</w:t>
            </w:r>
          </w:p>
          <w:p w14:paraId="183280D5">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Пружање саветодавне и техничке подршке корисницима програма при припреми и реализацији пројеката.</w:t>
            </w:r>
          </w:p>
          <w:p w14:paraId="64853242">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ефеката финансираних пројеката и редовно извештавање о резултатима рада програма.</w:t>
            </w:r>
          </w:p>
          <w:p w14:paraId="64E607BC">
            <w:pPr>
              <w:pStyle w:val="39"/>
              <w:numPr>
                <w:ilvl w:val="0"/>
                <w:numId w:val="4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програма и прилагођавање програма подршке у складу са потребама привреде и технолошким развојем.</w:t>
            </w:r>
          </w:p>
        </w:tc>
      </w:tr>
      <w:tr w14:paraId="46068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598126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30.000 ЕУР (период 2026–2030, са могућношћу проширења у зависности од обима програма и броја корисника)</w:t>
            </w:r>
          </w:p>
        </w:tc>
      </w:tr>
      <w:tr w14:paraId="37AA6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2920A8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привреде; Фонд за иновациону делатност; EU програми (IPA, Horizon Europe – посредно); Развојне банке; Донаторски програми</w:t>
            </w:r>
          </w:p>
        </w:tc>
      </w:tr>
      <w:tr w14:paraId="5CEB8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EBD3D7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локални економски развој)</w:t>
            </w:r>
          </w:p>
        </w:tc>
      </w:tr>
      <w:tr w14:paraId="39F2D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2EBC50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Регионална привредна комора; НАЛЕД; Развојна агенција; Локална ИТ заједница; Фонд за иновациону делатност; Универзитети/факултети; Банкарски сектор</w:t>
            </w:r>
          </w:p>
        </w:tc>
      </w:tr>
      <w:tr w14:paraId="3754D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5090D6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Микро, мала и средња предузећа, стартапи, предузетници, производне компаније, ИТ сектор, млади иноватори, истраживачке организације.</w:t>
            </w:r>
          </w:p>
        </w:tc>
      </w:tr>
      <w:tr w14:paraId="4C019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DFBB2A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потреба и израда модела програма, 2027 – оснивање програма и успостављање управљачке структуре, 2028–2030 – редовно финансирање пројеката, праћење ефеката и унапређење рада програма.</w:t>
            </w:r>
          </w:p>
        </w:tc>
      </w:tr>
      <w:tr w14:paraId="7AD41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752DCC3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790121A4">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 програм подршке за дигитализацију</w:t>
            </w:r>
          </w:p>
          <w:p w14:paraId="3B74768E">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расписаних јавних позива</w:t>
            </w:r>
          </w:p>
          <w:p w14:paraId="7DF507AA">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финансираних пројеката</w:t>
            </w:r>
          </w:p>
          <w:p w14:paraId="3C33FC0B">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укупна вредност финансираних пројеката</w:t>
            </w:r>
          </w:p>
          <w:p w14:paraId="3159126E">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подржаних предузећа</w:t>
            </w:r>
          </w:p>
          <w:p w14:paraId="49C7389F">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повећање продуктивности код корисника програма</w:t>
            </w:r>
          </w:p>
        </w:tc>
      </w:tr>
    </w:tbl>
    <w:p w14:paraId="361811E4">
      <w:pPr>
        <w:spacing w:after="0" w:line="240" w:lineRule="auto"/>
        <w:rPr>
          <w:sz w:val="22"/>
          <w:szCs w:val="22"/>
          <w:lang w:val="sr-Cyrl-RS"/>
        </w:rPr>
      </w:pPr>
    </w:p>
    <w:p w14:paraId="54731DE3">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08791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F4E60EF">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1.1</w:t>
            </w:r>
          </w:p>
          <w:p w14:paraId="5CE9980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Подстицаји за иновације, предузетништво и примену дигиталних технологија у локалној привреди</w:t>
            </w:r>
          </w:p>
        </w:tc>
      </w:tr>
      <w:tr w14:paraId="27DE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85D8EE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p>
          <w:p w14:paraId="283F850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1.1.3 Унапређење комуникације, информисања и едукације микро, малих и средњих предузећа</w:t>
            </w:r>
          </w:p>
        </w:tc>
      </w:tr>
      <w:tr w14:paraId="43B06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40CB1B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160B4E5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јачање информисаности, знања и укључености микро, малих и средњих предузећа у процесе дигиталне трансформације и развоја иновативних решења кроз успостављање систематске комуникације између локалне самоуправе, привреде и других релевантних актера.</w:t>
            </w:r>
          </w:p>
          <w:p w14:paraId="4AC93FAA">
            <w:pPr>
              <w:spacing w:after="0" w:line="240" w:lineRule="auto"/>
              <w:rPr>
                <w:rFonts w:ascii="Times New Roman" w:hAnsi="Times New Roman" w:cs="Times New Roman"/>
                <w:sz w:val="22"/>
                <w:szCs w:val="22"/>
                <w:lang w:val="sr-Cyrl-RS"/>
              </w:rPr>
            </w:pPr>
          </w:p>
          <w:p w14:paraId="259C315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развој дигиталне информативне платформе за ММСП, организацију обука и саветодавних активности, укључивање привреде у креирање локалних мера подршке, као и организацију пословних догађаја и промоцију паметних решења и иновација.</w:t>
            </w:r>
          </w:p>
          <w:p w14:paraId="741E264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ће се реализовати постепено, уз могућност прилагођавања модела рада програма у складу са потребама привреде и расположивим финансијским ресурсима.</w:t>
            </w:r>
          </w:p>
        </w:tc>
      </w:tr>
      <w:tr w14:paraId="1BC99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621EE67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1.1.3:</w:t>
            </w:r>
          </w:p>
          <w:p w14:paraId="567C6CA6">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веб странице или дигиталне информативне платформе за микро, мала и средња предузећа која садржи информације о доступним подстицајима, програмима подршке, обукама и пословним приликама.</w:t>
            </w:r>
          </w:p>
          <w:p w14:paraId="7E60FB16">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Редовно ажурирање информација о националним и међународним програмима финансирања, подстицајима и јавним позивима.</w:t>
            </w:r>
          </w:p>
          <w:p w14:paraId="698D7293">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обука, радионица и семинара за ММСП у области дигитализације, управљања пословањем, иновација и примене нових технологија.</w:t>
            </w:r>
          </w:p>
          <w:p w14:paraId="72716DB5">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Спровођење консултација са представницима привреде у циљу идентификације потреба и унапређења мера подршке локалној привреди.</w:t>
            </w:r>
          </w:p>
          <w:p w14:paraId="048A9FB6">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B2B догађаја, пословних форума и презентација иновативних решења и технологија.</w:t>
            </w:r>
          </w:p>
          <w:p w14:paraId="551DAC68">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Промоција успешних примера дигитализације и иновација у локалној привреди.</w:t>
            </w:r>
          </w:p>
          <w:p w14:paraId="6E6C00D3">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Развој система за прикупљање повратних информација од привреде о ефектима спроведених мера и потребама за додатном подршком.</w:t>
            </w:r>
          </w:p>
          <w:p w14:paraId="40687FD6">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Сарадња са образовним и научним институцијама у циљу повезивања привреде са изворима знања и иновација.</w:t>
            </w:r>
          </w:p>
          <w:p w14:paraId="03FCFEDA">
            <w:pPr>
              <w:pStyle w:val="39"/>
              <w:numPr>
                <w:ilvl w:val="0"/>
                <w:numId w:val="4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ефеката спроведених активности и редовно унапређење комуникације и подршке привреди.</w:t>
            </w:r>
          </w:p>
        </w:tc>
      </w:tr>
      <w:tr w14:paraId="69B8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FB123D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30.000 ЕУР (период 2026–2030, са могућношћу проширења у зависности од обима програма и броја корисника)</w:t>
            </w:r>
          </w:p>
        </w:tc>
      </w:tr>
      <w:tr w14:paraId="3FBAF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7FA7DD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привреде, национални програми подршке привреди, донаторски програми, EU фондови, привредна удружења, пројекти локалног економског развоја.</w:t>
            </w:r>
          </w:p>
        </w:tc>
      </w:tr>
      <w:tr w14:paraId="59D68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3C5E45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локални економски развој)</w:t>
            </w:r>
          </w:p>
        </w:tc>
      </w:tr>
      <w:tr w14:paraId="34302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517269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Регионална привредна комора, Развојна агенција, НАЛЕД, привредна удружења, универзитети и факултети, образовне институције, ИТ компаније, консултантске организације.</w:t>
            </w:r>
          </w:p>
        </w:tc>
      </w:tr>
      <w:tr w14:paraId="5E127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79EB1A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Микро, мала и средња предузећа, предузетници, стартапи, производни сектор, услужни сектор, ИТ компаније, млади предузетници.</w:t>
            </w:r>
          </w:p>
        </w:tc>
      </w:tr>
      <w:tr w14:paraId="1BC57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5C2C32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успостављање платформе и почетак активности информисања и едукације, 2027–2030 – организација обука, консултација и B2B догађаја, унапређење комуникације и подршке привреди.</w:t>
            </w:r>
          </w:p>
        </w:tc>
      </w:tr>
      <w:tr w14:paraId="4768A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09C6C2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0BED4DE4">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успостављена веб страница или информативна платформа за ММСП</w:t>
            </w:r>
          </w:p>
          <w:p w14:paraId="29D1C8C5">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организованих обука и радионица (број учесника на обукама)</w:t>
            </w:r>
          </w:p>
          <w:p w14:paraId="70100199">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одржаних B2B догађаја</w:t>
            </w:r>
          </w:p>
          <w:p w14:paraId="5429171D">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предузећа укључених у креирање мера</w:t>
            </w:r>
          </w:p>
        </w:tc>
      </w:tr>
    </w:tbl>
    <w:p w14:paraId="151D9E59">
      <w:pPr>
        <w:spacing w:after="0" w:line="240" w:lineRule="auto"/>
        <w:rPr>
          <w:sz w:val="22"/>
          <w:szCs w:val="22"/>
          <w:lang w:val="sr-Cyrl-RS"/>
        </w:rPr>
      </w:pPr>
    </w:p>
    <w:p w14:paraId="2C506758">
      <w:pPr>
        <w:spacing w:after="0" w:line="240" w:lineRule="auto"/>
        <w:rPr>
          <w:sz w:val="22"/>
          <w:szCs w:val="22"/>
          <w:lang w:val="sr-Cyrl-RS"/>
        </w:rPr>
      </w:pPr>
    </w:p>
    <w:tbl>
      <w:tblPr>
        <w:tblStyle w:val="4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7206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399587D">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1.2</w:t>
            </w:r>
          </w:p>
          <w:p w14:paraId="4CE46BC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Паметан и дигитално подржан рурални развој</w:t>
            </w:r>
          </w:p>
        </w:tc>
      </w:tr>
      <w:tr w14:paraId="10EE1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75CCF0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p>
          <w:p w14:paraId="0E7DF35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1.2.1 Унапређење капацитета пољопривредних произвођача за коришћење дигиталних сервиса</w:t>
            </w:r>
          </w:p>
        </w:tc>
      </w:tr>
      <w:tr w14:paraId="0D294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82BB9D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6085EED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система финансијске подршке пољопривредним произвођачима у циљу примене дигиталних алата и сервиса у производњи и пласману производа. Мера обухвата субвенције за пољопривредне произвођаче, едукацију, техничку подршку и повезивање са ИТ сектором ради унапређења ефикасности, смањења трошкова и повећања конкуретности. Циљ је дигитална трансформација пољопривреде и развој паметне пољопривреде на територији града Пирота.</w:t>
            </w:r>
          </w:p>
        </w:tc>
      </w:tr>
      <w:tr w14:paraId="130C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02CCDFD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1.2.1:</w:t>
            </w:r>
          </w:p>
          <w:p w14:paraId="08B4C4BB">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Израда Програма финансијске подршке пољопривредним произвођачима (критеријуми, приоритети, проценат суфинансирања, лимити)</w:t>
            </w:r>
          </w:p>
          <w:p w14:paraId="19EBEA31">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Спровођење годишњег јавног позива за доделу субвенција</w:t>
            </w:r>
          </w:p>
          <w:p w14:paraId="0A842360">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Субвенционисање:</w:t>
            </w:r>
          </w:p>
          <w:p w14:paraId="0A4DCC58">
            <w:pPr>
              <w:numPr>
                <w:ilvl w:val="0"/>
                <w:numId w:val="43"/>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Дигитализација пољопривредне производње</w:t>
            </w:r>
          </w:p>
          <w:p w14:paraId="65A4F91C">
            <w:pPr>
              <w:numPr>
                <w:ilvl w:val="0"/>
                <w:numId w:val="43"/>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Увођење сензора, бежичних мрежа, паметних система за наводњавање</w:t>
            </w:r>
          </w:p>
          <w:p w14:paraId="04F5A505">
            <w:pPr>
              <w:numPr>
                <w:ilvl w:val="0"/>
                <w:numId w:val="43"/>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Софтверске апликације за праћење у различитим фазама пољопривредне производње (влажност земљишта, квалитет воде, климатске услове и др.)</w:t>
            </w:r>
          </w:p>
          <w:p w14:paraId="5EC85395">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локалног Фонда за подршку пољопривредницима (дефинисање модела управљања , извора финансирања и правила коришћења)</w:t>
            </w:r>
          </w:p>
          <w:p w14:paraId="463B5FC2">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и промовисање дигиталног алата за пласман пољопривредних произвођача „електронске пијаце“</w:t>
            </w:r>
          </w:p>
          <w:p w14:paraId="6ED56D24">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Подршка у увођењеу дигиталних решења</w:t>
            </w:r>
          </w:p>
          <w:p w14:paraId="0CC8EBDA">
            <w:pPr>
              <w:numPr>
                <w:ilvl w:val="0"/>
                <w:numId w:val="42"/>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система праћења ефеката</w:t>
            </w:r>
          </w:p>
        </w:tc>
      </w:tr>
      <w:tr w14:paraId="550BC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B707A2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300.000,00 ЕУР (период 2026–2030, у зависности од обима фонда и броја корисника)</w:t>
            </w:r>
          </w:p>
        </w:tc>
      </w:tr>
      <w:tr w14:paraId="5F7BA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0783AF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Извори финансирања: Буџет Града Пирота; Министарство пољопривреде; ИПАРД; Донаторски програми; </w:t>
            </w:r>
          </w:p>
        </w:tc>
      </w:tr>
      <w:tr w14:paraId="76362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632641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локални економски развој)</w:t>
            </w:r>
          </w:p>
        </w:tc>
      </w:tr>
      <w:tr w14:paraId="59E1E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67321B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Пољопривредна стручна служба, Регионална привредна комора; НАЛЕД; Развојна агенција; Локална ИТ заједница; Универзитети/факултети; Банкарски сектор</w:t>
            </w:r>
          </w:p>
        </w:tc>
      </w:tr>
      <w:tr w14:paraId="55323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ACDD35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Пољопривредна газдинства</w:t>
            </w:r>
          </w:p>
        </w:tc>
      </w:tr>
      <w:tr w14:paraId="6ADFB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2891E5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2027 – успостављање програма и фонда;</w:t>
            </w:r>
          </w:p>
          <w:p w14:paraId="615DE9D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2028–2030 – годишњи јавни позиви и праћење ефеката.</w:t>
            </w:r>
          </w:p>
        </w:tc>
      </w:tr>
      <w:tr w14:paraId="5ADC6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311A92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77930AB7">
            <w:pPr>
              <w:numPr>
                <w:ilvl w:val="0"/>
                <w:numId w:val="38"/>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Усвојен Програм финансијске подршке</w:t>
            </w:r>
          </w:p>
          <w:p w14:paraId="5F0F0E9B">
            <w:pPr>
              <w:numPr>
                <w:ilvl w:val="1"/>
                <w:numId w:val="39"/>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Број подржаних пољопривредних газдинстава (минимум 20 до 2030.)</w:t>
            </w:r>
          </w:p>
          <w:p w14:paraId="07CE9D21">
            <w:pPr>
              <w:numPr>
                <w:ilvl w:val="1"/>
                <w:numId w:val="39"/>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Пораст прноса по ха код подржаних пољопривредних газдинстава</w:t>
            </w:r>
          </w:p>
          <w:p w14:paraId="5FDF7D9B">
            <w:pPr>
              <w:numPr>
                <w:ilvl w:val="1"/>
                <w:numId w:val="39"/>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Број обављених транакција путем успостављене дигиталне платформе</w:t>
            </w:r>
          </w:p>
          <w:p w14:paraId="1BE27CDA">
            <w:pPr>
              <w:numPr>
                <w:ilvl w:val="1"/>
                <w:numId w:val="39"/>
              </w:numPr>
              <w:spacing w:after="0" w:line="240" w:lineRule="auto"/>
              <w:contextualSpacing/>
              <w:rPr>
                <w:rFonts w:ascii="Times New Roman" w:hAnsi="Times New Roman" w:cs="Times New Roman"/>
                <w:sz w:val="22"/>
                <w:szCs w:val="22"/>
                <w:lang w:val="sr-Cyrl-RS"/>
              </w:rPr>
            </w:pPr>
            <w:r>
              <w:rPr>
                <w:rFonts w:ascii="Times New Roman" w:hAnsi="Times New Roman" w:cs="Times New Roman"/>
                <w:sz w:val="22"/>
                <w:szCs w:val="22"/>
                <w:lang w:val="sr-Cyrl-RS"/>
              </w:rPr>
              <w:t>Укупно генерисан приход од пласмана производа путем дигиталне платформе</w:t>
            </w:r>
          </w:p>
        </w:tc>
      </w:tr>
    </w:tbl>
    <w:p w14:paraId="554E3625">
      <w:pPr>
        <w:spacing w:after="0" w:line="240" w:lineRule="auto"/>
        <w:rPr>
          <w:sz w:val="22"/>
          <w:szCs w:val="22"/>
          <w:lang w:val="sr-Cyrl-RS"/>
        </w:rPr>
      </w:pPr>
    </w:p>
    <w:p w14:paraId="34801C88">
      <w:pPr>
        <w:spacing w:after="0" w:line="240" w:lineRule="auto"/>
        <w:rPr>
          <w:sz w:val="22"/>
          <w:szCs w:val="22"/>
          <w:lang w:val="sr-Cyrl-RS"/>
        </w:rPr>
      </w:pPr>
    </w:p>
    <w:tbl>
      <w:tblPr>
        <w:tblStyle w:val="21"/>
        <w:tblpPr w:leftFromText="180" w:rightFromText="180" w:vertAnchor="text" w:horzAnchor="margin" w:tblpY="-1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4B0B2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31D3673F">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1.3</w:t>
            </w:r>
          </w:p>
          <w:p w14:paraId="162CAD90">
            <w:pPr>
              <w:spacing w:after="0" w:line="240" w:lineRule="auto"/>
              <w:rPr>
                <w:rFonts w:ascii="Times New Roman" w:hAnsi="Times New Roman" w:eastAsia="Times New Roman" w:cs="Times New Roman"/>
                <w:b/>
                <w:kern w:val="0"/>
                <w:sz w:val="22"/>
                <w:szCs w:val="22"/>
                <w:lang w:val="sr-Cyrl-RS" w:eastAsia="en-GB"/>
              </w:rPr>
            </w:pPr>
            <w:r>
              <w:rPr>
                <w:rFonts w:ascii="Times New Roman" w:hAnsi="Times New Roman" w:eastAsia="Times New Roman" w:cs="Times New Roman"/>
                <w:b/>
                <w:kern w:val="0"/>
                <w:sz w:val="22"/>
                <w:szCs w:val="22"/>
                <w:lang w:val="sr-Cyrl-RS" w:eastAsia="en-GB"/>
              </w:rPr>
              <w:t>Дигитализација туристичке понуде и увођење паметних решења за туристе</w:t>
            </w:r>
          </w:p>
        </w:tc>
      </w:tr>
      <w:tr w14:paraId="69B6C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04E477D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1.3.1 </w:t>
            </w:r>
          </w:p>
          <w:p w14:paraId="4BD5F22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b/>
                <w:bCs/>
                <w:sz w:val="22"/>
                <w:szCs w:val="22"/>
                <w:lang w:val="sr-Cyrl-RS"/>
              </w:rPr>
              <w:t>Развој јединственог бренда града као подршка стварању паметне туристичке дестинације</w:t>
            </w:r>
          </w:p>
        </w:tc>
      </w:tr>
      <w:tr w14:paraId="2902D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25164D66">
            <w:pPr>
              <w:spacing w:after="0" w:line="240" w:lineRule="auto"/>
              <w:rPr>
                <w:lang w:val="sr-Cyrl-RS"/>
              </w:rPr>
            </w:pPr>
            <w:r>
              <w:rPr>
                <w:rFonts w:ascii="Times New Roman" w:hAnsi="Times New Roman" w:eastAsia="Calibri" w:cs="Times New Roman"/>
                <w:sz w:val="22"/>
                <w:szCs w:val="22"/>
                <w:lang w:val="sr-Cyrl-RS"/>
              </w:rPr>
              <w:t>Опис мере/пројекта:</w:t>
            </w:r>
            <w:r>
              <w:rPr>
                <w:lang w:val="sr-Cyrl-RS"/>
              </w:rPr>
              <w:t xml:space="preserve"> </w:t>
            </w:r>
          </w:p>
          <w:p w14:paraId="63A4169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Развој  бренда града подразумева дефинисање и примену савременог визуелног и комуникационог идентитета који ће објединити туристичку понуду Пирота и допринети његовом позиционирању као паметне туристичке дестинације. Кроз ову меру планира се креирање бренд стратегије града, усклађивање промотивних материјала и дигиталних канала комуникације, као и интеграција паметних дигиталних решења која туристима омогућавају лакши приступ информацијама о туристичким атракцијама, манифестацијама, смештају и локалним производима. Циљ је повећање видљивости града, унапређење туристичког доживљаја посетилаца и јачање конкурентности дестинације на домаћем и међународном тржишту.</w:t>
            </w:r>
          </w:p>
        </w:tc>
      </w:tr>
      <w:tr w14:paraId="4243A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350" w:type="dxa"/>
          </w:tcPr>
          <w:p w14:paraId="6D9A266F">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Активности 1.3.1:</w:t>
            </w:r>
          </w:p>
          <w:p w14:paraId="4DC170AD">
            <w:pPr>
              <w:numPr>
                <w:ilvl w:val="0"/>
                <w:numId w:val="44"/>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Израда стратегије брендирања града и дефинисање јединственог визуелног идентитета туристичке дестинације.</w:t>
            </w:r>
          </w:p>
          <w:p w14:paraId="110C7C89">
            <w:pPr>
              <w:numPr>
                <w:ilvl w:val="0"/>
                <w:numId w:val="44"/>
              </w:numPr>
              <w:spacing w:after="0" w:line="240" w:lineRule="auto"/>
              <w:rPr>
                <w:rFonts w:ascii="Times New Roman" w:hAnsi="Times New Roman" w:eastAsia="Calibri" w:cs="Times New Roman"/>
                <w:color w:val="EE0000"/>
                <w:sz w:val="22"/>
                <w:szCs w:val="22"/>
                <w:lang w:val="sr-Cyrl-RS"/>
              </w:rPr>
            </w:pPr>
            <w:r>
              <w:rPr>
                <w:rFonts w:ascii="Times New Roman" w:hAnsi="Times New Roman" w:eastAsia="Calibri" w:cs="Times New Roman"/>
                <w:sz w:val="22"/>
                <w:szCs w:val="22"/>
                <w:lang w:val="sr-Cyrl-RS"/>
              </w:rPr>
              <w:t>Развој и примена дигиталних алата за промоцију дестинације (веб платформа, мобилне апликације, дигиталне мапе и водичи).</w:t>
            </w:r>
          </w:p>
          <w:p w14:paraId="27124586">
            <w:pPr>
              <w:numPr>
                <w:ilvl w:val="0"/>
                <w:numId w:val="44"/>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Усклађивање и стандардизација промотивних материјала, туристичке сигнализације и комуникације на дигиталним каналима.</w:t>
            </w:r>
          </w:p>
          <w:p w14:paraId="0301F089">
            <w:pPr>
              <w:numPr>
                <w:ilvl w:val="0"/>
                <w:numId w:val="44"/>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Промотивне кампање и презентације бренда града на сајмовима, манифестацијама и кроз дигитални маркетинг.</w:t>
            </w:r>
          </w:p>
          <w:p w14:paraId="7C757CDA">
            <w:pPr>
              <w:numPr>
                <w:ilvl w:val="0"/>
                <w:numId w:val="44"/>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Сарадња са локалним туристичким и привредним субјектима у циљу примене јединственог бренда у промоцији производа и услуга. (Део ових активности примењен је кроз пројекат Дигитализација туристичке понуде Србије)</w:t>
            </w:r>
          </w:p>
        </w:tc>
      </w:tr>
      <w:tr w14:paraId="63AEA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37D78FA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Процењена вредност: 150.000 – 250.000 ЕУР (период 2026–2030, у зависности од обима продукције и броја садржаја)</w:t>
            </w:r>
          </w:p>
        </w:tc>
      </w:tr>
      <w:tr w14:paraId="1F081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3DCDE64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Извори финансирања: Буџет Града Пирота;EU програми (IPA, Horizon Europe – посредно); Развојне банке; Донаторски програми; Јавно-приватна партнерства</w:t>
            </w:r>
          </w:p>
        </w:tc>
      </w:tr>
      <w:tr w14:paraId="3C306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15175BF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Носилац реализације: Град Пирот </w:t>
            </w:r>
          </w:p>
        </w:tc>
      </w:tr>
      <w:tr w14:paraId="2BA72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2770C0F5">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Регионална привредна комора; НАЛЕД; Развојна агенција; Локална ИТ заједница; Фонд за иновациону делатност; Универзитети/факултети; Банкарски сектор</w:t>
            </w:r>
          </w:p>
        </w:tc>
      </w:tr>
      <w:tr w14:paraId="487DA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478B5D0E">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Туристи (домаћи и страни); Туристичка организација; Локални туристички и угоститељски субјекти; Културне институције; Креативна и ИТ индустрија; Медији и дигиталне платформе.</w:t>
            </w:r>
          </w:p>
        </w:tc>
      </w:tr>
      <w:tr w14:paraId="0DE3E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183B005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Рок за реализацију:</w:t>
            </w:r>
          </w:p>
          <w:p w14:paraId="2A87F83F">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2026 – планирање и почетак продукције садржаја;</w:t>
            </w:r>
            <w:r>
              <w:rPr>
                <w:rFonts w:ascii="Times New Roman" w:hAnsi="Times New Roman" w:eastAsia="Calibri" w:cs="Times New Roman"/>
                <w:sz w:val="22"/>
                <w:szCs w:val="22"/>
                <w:lang w:val="sr-Cyrl-RS"/>
              </w:rPr>
              <w:br w:type="textWrapping"/>
            </w:r>
            <w:r>
              <w:rPr>
                <w:rFonts w:ascii="Times New Roman" w:hAnsi="Times New Roman" w:eastAsia="Calibri" w:cs="Times New Roman"/>
                <w:sz w:val="22"/>
                <w:szCs w:val="22"/>
                <w:lang w:val="sr-Cyrl-RS"/>
              </w:rPr>
              <w:t>2027–2028 – интензивна израда и дистрибуција мултимедијалних садржаја;</w:t>
            </w:r>
            <w:r>
              <w:rPr>
                <w:rFonts w:ascii="Times New Roman" w:hAnsi="Times New Roman" w:eastAsia="Calibri" w:cs="Times New Roman"/>
                <w:sz w:val="22"/>
                <w:szCs w:val="22"/>
                <w:lang w:val="sr-Cyrl-RS"/>
              </w:rPr>
              <w:br w:type="textWrapping"/>
            </w:r>
            <w:r>
              <w:rPr>
                <w:rFonts w:ascii="Times New Roman" w:hAnsi="Times New Roman" w:eastAsia="Calibri" w:cs="Times New Roman"/>
                <w:sz w:val="22"/>
                <w:szCs w:val="22"/>
                <w:lang w:val="sr-Cyrl-RS"/>
              </w:rPr>
              <w:t>2029–2030 – континуирано унапређење и ажурирање садржаја, праћење ефеката</w:t>
            </w:r>
          </w:p>
          <w:p w14:paraId="3D4B540A">
            <w:pPr>
              <w:spacing w:after="0" w:line="240" w:lineRule="auto"/>
              <w:rPr>
                <w:rFonts w:ascii="Times New Roman" w:hAnsi="Times New Roman" w:eastAsia="Calibri" w:cs="Times New Roman"/>
                <w:sz w:val="22"/>
                <w:szCs w:val="22"/>
                <w:lang w:val="sr-Cyrl-RS"/>
              </w:rPr>
            </w:pPr>
          </w:p>
        </w:tc>
      </w:tr>
      <w:tr w14:paraId="2462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7AC55057">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7EA8117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Дефинисан визуелни идентитет дестинације</w:t>
            </w:r>
          </w:p>
          <w:p w14:paraId="10B3DA3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Број развијених и имплементираних дигиталних алата (веб платформа, мобилна апликација, дигитални водичи) или неки од ових показатеља</w:t>
            </w:r>
          </w:p>
          <w:p w14:paraId="5EC7B99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Број реализованих промотивних кампања и наступа на сајмовима и манифестацијама</w:t>
            </w:r>
          </w:p>
          <w:p w14:paraId="2F288E0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Број локалних субјеката који примењују јединствени бренд у промоцији својих производа и услуга (30 субјеката)</w:t>
            </w:r>
          </w:p>
          <w:p w14:paraId="41DCB1A0">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Повећање броја посета званичним дигиталним каналима (веб сајт, апликације, друштвене мреже)</w:t>
            </w:r>
          </w:p>
          <w:p w14:paraId="4A972B3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Повећање броја туриста и/или ноћења</w:t>
            </w:r>
          </w:p>
        </w:tc>
      </w:tr>
    </w:tbl>
    <w:p w14:paraId="68CB74D3">
      <w:pPr>
        <w:spacing w:after="0" w:line="240" w:lineRule="auto"/>
        <w:rPr>
          <w:sz w:val="22"/>
          <w:szCs w:val="22"/>
          <w:lang w:val="sr-Cyrl-RS"/>
        </w:rPr>
      </w:pPr>
    </w:p>
    <w:p w14:paraId="078F47ED">
      <w:pPr>
        <w:spacing w:after="0" w:line="240" w:lineRule="auto"/>
        <w:rPr>
          <w:sz w:val="22"/>
          <w:szCs w:val="22"/>
          <w:lang w:val="sr-Cyrl-RS"/>
        </w:rPr>
      </w:pPr>
    </w:p>
    <w:p w14:paraId="604DC434">
      <w:pPr>
        <w:spacing w:after="0" w:line="240" w:lineRule="auto"/>
        <w:rPr>
          <w:sz w:val="22"/>
          <w:szCs w:val="22"/>
          <w:lang w:val="sr-Cyrl-RS"/>
        </w:rPr>
      </w:pPr>
    </w:p>
    <w:tbl>
      <w:tblPr>
        <w:tblStyle w:val="4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11CBC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26CDAE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1.3.</w:t>
            </w:r>
          </w:p>
          <w:p w14:paraId="4516ABDB">
            <w:pPr>
              <w:spacing w:after="0" w:line="240" w:lineRule="auto"/>
              <w:rPr>
                <w:rFonts w:ascii="Times New Roman" w:hAnsi="Times New Roman" w:eastAsia="Times New Roman" w:cs="Times New Roman"/>
                <w:b/>
                <w:kern w:val="0"/>
                <w:sz w:val="22"/>
                <w:szCs w:val="22"/>
                <w:lang w:val="sr-Cyrl-RS" w:eastAsia="en-GB"/>
              </w:rPr>
            </w:pPr>
            <w:r>
              <w:rPr>
                <w:rFonts w:ascii="Times New Roman" w:hAnsi="Times New Roman" w:eastAsia="Times New Roman" w:cs="Times New Roman"/>
                <w:b/>
                <w:kern w:val="0"/>
                <w:sz w:val="22"/>
                <w:szCs w:val="22"/>
                <w:lang w:val="sr-Cyrl-RS" w:eastAsia="en-GB"/>
              </w:rPr>
              <w:t>Дигитализација туристичке понуде и увођење паметних решења за туристе</w:t>
            </w:r>
          </w:p>
        </w:tc>
      </w:tr>
      <w:tr w14:paraId="28F98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165A52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Мера/Пројекат (број/опис): 1.3.2</w:t>
            </w:r>
          </w:p>
          <w:p w14:paraId="437CE21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Увођење свеобухватног дигиталног туристичког водича </w:t>
            </w:r>
            <w:r>
              <w:rPr>
                <w:rFonts w:ascii="Times New Roman" w:hAnsi="Times New Roman" w:eastAsia="Calibri" w:cs="Times New Roman"/>
                <w:i/>
                <w:iCs/>
                <w:sz w:val="22"/>
                <w:szCs w:val="22"/>
                <w:lang w:val="sr-Cyrl-RS"/>
              </w:rPr>
              <w:t>Smart Pirot Guide</w:t>
            </w:r>
            <w:r>
              <w:rPr>
                <w:rFonts w:ascii="Times New Roman" w:hAnsi="Times New Roman" w:eastAsia="Calibri" w:cs="Times New Roman"/>
                <w:sz w:val="22"/>
                <w:szCs w:val="22"/>
                <w:lang w:val="sr-Cyrl-RS"/>
              </w:rPr>
              <w:t>, укључујући и дигиталну платформу за резервацију смештаја у граду Пироту</w:t>
            </w:r>
          </w:p>
        </w:tc>
      </w:tr>
      <w:tr w14:paraId="2BE5E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70CE6FE">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15064085">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Увођење свеобухватног дигиталног туристичког водича </w:t>
            </w:r>
            <w:r>
              <w:rPr>
                <w:rFonts w:ascii="Times New Roman" w:hAnsi="Times New Roman" w:eastAsia="Calibri" w:cs="Times New Roman"/>
                <w:i/>
                <w:iCs/>
                <w:sz w:val="22"/>
                <w:szCs w:val="22"/>
                <w:lang w:val="sr-Cyrl-RS"/>
              </w:rPr>
              <w:t xml:space="preserve">Smart Pirot Guide </w:t>
            </w:r>
            <w:r>
              <w:rPr>
                <w:rFonts w:ascii="Times New Roman" w:hAnsi="Times New Roman" w:eastAsia="Calibri" w:cs="Times New Roman"/>
                <w:sz w:val="22"/>
                <w:szCs w:val="22"/>
                <w:lang w:val="sr-Cyrl-RS"/>
              </w:rPr>
              <w:t>подразумева развој  дигиталне платформе која туристима омогућава једноставан приступ свим релевантним информацијама о туристичкој понуди града,укључујући знаменитости,манифестације, гастрономију и смештајне капацитете. Платформа ће објединити функције информисања, навигације и online резервације смештаја,уз примену савремених технологија попут мобилних апликација,интерактивних мапа и QR кодова.Циљ мере је унапређење корисничког искуства туриста, повећање видљивости дестинације и дигитална трансформација туристичког сектора.</w:t>
            </w:r>
          </w:p>
        </w:tc>
      </w:tr>
      <w:tr w14:paraId="0E848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2D2259C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Активности 1.3.2:</w:t>
            </w:r>
          </w:p>
          <w:p w14:paraId="19DAC5B7">
            <w:pPr>
              <w:numPr>
                <w:ilvl w:val="0"/>
                <w:numId w:val="45"/>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Развој и имплементација дигиталне платформе и мобилне апликације </w:t>
            </w:r>
            <w:r>
              <w:rPr>
                <w:rFonts w:ascii="Times New Roman" w:hAnsi="Times New Roman" w:eastAsia="Calibri" w:cs="Times New Roman"/>
                <w:i/>
                <w:iCs/>
                <w:sz w:val="22"/>
                <w:szCs w:val="22"/>
                <w:lang w:val="sr-Cyrl-RS"/>
              </w:rPr>
              <w:t>Smart Pirot Guide</w:t>
            </w:r>
          </w:p>
          <w:p w14:paraId="78DFCD93">
            <w:pPr>
              <w:numPr>
                <w:ilvl w:val="0"/>
                <w:numId w:val="45"/>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Креирање и дигитализација туристичког садржаја (атракције, руте, манифестације, смештај)</w:t>
            </w:r>
          </w:p>
          <w:p w14:paraId="3CDE8746">
            <w:pPr>
              <w:numPr>
                <w:ilvl w:val="0"/>
                <w:numId w:val="45"/>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Успостављање система за online резервацију смештаја и туристичких услуга</w:t>
            </w:r>
          </w:p>
          <w:p w14:paraId="3FF86079">
            <w:pPr>
              <w:numPr>
                <w:ilvl w:val="0"/>
                <w:numId w:val="45"/>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Постављање QR кодова и дигиталних инфо тачака на кључним локацијама у граду</w:t>
            </w:r>
          </w:p>
          <w:p w14:paraId="3699C5D8">
            <w:pPr>
              <w:numPr>
                <w:ilvl w:val="0"/>
                <w:numId w:val="45"/>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Промоција и обука локалних туристичких субјеката за коришћење платформе</w:t>
            </w:r>
          </w:p>
          <w:p w14:paraId="4447B8A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Део ових активности примењен је кроз пројекат Дигитализација туристичке понуде Србије</w:t>
            </w:r>
          </w:p>
        </w:tc>
      </w:tr>
      <w:tr w14:paraId="04C95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DB21B2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Процењена вредност: 200.000 – 300.000 ЕУР (период 2026–2030, у зависности од комплексности платформе и броја функционалности)</w:t>
            </w:r>
          </w:p>
        </w:tc>
      </w:tr>
      <w:tr w14:paraId="65AB5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AD3AD47">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Извори финансирања: Буџет Града Пирота; Министарство привреде; Фонд за иновациону делатност; EU програми (IPA, Horizon Europe – посредно); Развојне банке; Донаторски програми; Јавно-приватна партнерства</w:t>
            </w:r>
          </w:p>
        </w:tc>
      </w:tr>
      <w:tr w14:paraId="51DB1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78723EA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Носилац реализације: Град Пирот </w:t>
            </w:r>
          </w:p>
        </w:tc>
      </w:tr>
      <w:tr w14:paraId="44C1F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DF2C02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Регионална привредна комора; НАЛЕД; Развојна агенција; Локална ИТ заједница; Фонд за иновациону делатност; Универзитети/факултети; Банкарски сектор</w:t>
            </w:r>
          </w:p>
        </w:tc>
      </w:tr>
      <w:tr w14:paraId="26997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0187DA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w:t>
            </w:r>
            <w:r>
              <w:rPr>
                <w:rFonts w:ascii="Segoe UI" w:hAnsi="Segoe UI" w:cs="Segoe UI"/>
                <w:color w:val="52525B"/>
                <w:sz w:val="30"/>
                <w:szCs w:val="30"/>
                <w:shd w:val="clear" w:color="auto" w:fill="FCFCFC"/>
                <w:lang w:val="sr-Cyrl-RS"/>
              </w:rPr>
              <w:t xml:space="preserve"> </w:t>
            </w:r>
            <w:r>
              <w:rPr>
                <w:rFonts w:ascii="Times New Roman" w:hAnsi="Times New Roman" w:eastAsia="Calibri" w:cs="Times New Roman"/>
                <w:sz w:val="22"/>
                <w:szCs w:val="22"/>
                <w:lang w:val="sr-Cyrl-RS"/>
              </w:rPr>
              <w:t>Туристи (домаћи и страни); Туристичка организација; Пружаоци смештаја (хотели, приватни смештај); Угоститељски објекти;Локалне ИТ компаније</w:t>
            </w:r>
          </w:p>
        </w:tc>
      </w:tr>
      <w:tr w14:paraId="75C00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820674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Рок за реализацију: </w:t>
            </w:r>
          </w:p>
          <w:p w14:paraId="3E26E8D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2026 – развој платформе и апликације;</w:t>
            </w:r>
            <w:r>
              <w:rPr>
                <w:rFonts w:ascii="Times New Roman" w:hAnsi="Times New Roman" w:eastAsia="Calibri" w:cs="Times New Roman"/>
                <w:sz w:val="22"/>
                <w:szCs w:val="22"/>
                <w:lang w:val="sr-Cyrl-RS"/>
              </w:rPr>
              <w:br w:type="textWrapping"/>
            </w:r>
            <w:r>
              <w:rPr>
                <w:rFonts w:ascii="Times New Roman" w:hAnsi="Times New Roman" w:eastAsia="Calibri" w:cs="Times New Roman"/>
                <w:sz w:val="22"/>
                <w:szCs w:val="22"/>
                <w:lang w:val="sr-Cyrl-RS"/>
              </w:rPr>
              <w:t>2027 – имплементација система резервација и постављање инфраструктуре (QR kodovi, инфо тачке);</w:t>
            </w:r>
            <w:r>
              <w:rPr>
                <w:rFonts w:ascii="Times New Roman" w:hAnsi="Times New Roman" w:eastAsia="Calibri" w:cs="Times New Roman"/>
                <w:sz w:val="22"/>
                <w:szCs w:val="22"/>
                <w:lang w:val="sr-Cyrl-RS"/>
              </w:rPr>
              <w:br w:type="textWrapping"/>
            </w:r>
            <w:r>
              <w:rPr>
                <w:rFonts w:ascii="Times New Roman" w:hAnsi="Times New Roman" w:eastAsia="Calibri" w:cs="Times New Roman"/>
                <w:sz w:val="22"/>
                <w:szCs w:val="22"/>
                <w:lang w:val="sr-Cyrl-RS"/>
              </w:rPr>
              <w:t>2028–2030 – унапређење система, ширење базе корисника и одржавање платформе</w:t>
            </w:r>
          </w:p>
        </w:tc>
      </w:tr>
      <w:tr w14:paraId="20347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1D20BB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5219475F">
            <w:pPr>
              <w:numPr>
                <w:ilvl w:val="0"/>
                <w:numId w:val="46"/>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Развијена и функционална дигитална платформа и/или мобилна апликација</w:t>
            </w:r>
          </w:p>
          <w:p w14:paraId="2ED3EF10">
            <w:pPr>
              <w:numPr>
                <w:ilvl w:val="0"/>
                <w:numId w:val="46"/>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Број дигитализованих туристичких садржаја</w:t>
            </w:r>
          </w:p>
          <w:p w14:paraId="138713B4">
            <w:pPr>
              <w:numPr>
                <w:ilvl w:val="0"/>
                <w:numId w:val="46"/>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Број смештајних објеката укључених у систем резервације </w:t>
            </w:r>
          </w:p>
          <w:p w14:paraId="400BA088">
            <w:pPr>
              <w:numPr>
                <w:ilvl w:val="0"/>
                <w:numId w:val="46"/>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Број постављених QR кодова и инфо тачака </w:t>
            </w:r>
          </w:p>
          <w:p w14:paraId="191A4778">
            <w:pPr>
              <w:numPr>
                <w:ilvl w:val="0"/>
                <w:numId w:val="46"/>
              </w:numPr>
              <w:spacing w:after="0" w:line="240" w:lineRule="auto"/>
              <w:rPr>
                <w:rFonts w:ascii="Times New Roman" w:hAnsi="Times New Roman" w:eastAsia="Calibri" w:cs="Times New Roman"/>
                <w:color w:val="4EA72E" w:themeColor="accent6"/>
                <w:sz w:val="22"/>
                <w:szCs w:val="22"/>
                <w:lang w:val="sr-Cyrl-RS"/>
                <w14:textFill>
                  <w14:solidFill>
                    <w14:schemeClr w14:val="accent6"/>
                  </w14:solidFill>
                </w14:textFill>
              </w:rPr>
            </w:pPr>
            <w:r>
              <w:rPr>
                <w:rFonts w:ascii="Times New Roman" w:hAnsi="Times New Roman" w:eastAsia="Calibri" w:cs="Times New Roman"/>
                <w:sz w:val="22"/>
                <w:szCs w:val="22"/>
                <w:lang w:val="sr-Cyrl-RS"/>
              </w:rPr>
              <w:t xml:space="preserve">Број корисника платформе/апликације </w:t>
            </w:r>
          </w:p>
        </w:tc>
      </w:tr>
    </w:tbl>
    <w:p w14:paraId="17478135">
      <w:pPr>
        <w:spacing w:after="0" w:line="240" w:lineRule="auto"/>
        <w:rPr>
          <w:sz w:val="22"/>
          <w:szCs w:val="22"/>
          <w:lang w:val="sr-Cyrl-RS"/>
        </w:rPr>
      </w:pPr>
    </w:p>
    <w:p w14:paraId="2D34864D">
      <w:pPr>
        <w:spacing w:after="0" w:line="240" w:lineRule="auto"/>
        <w:rPr>
          <w:sz w:val="22"/>
          <w:szCs w:val="22"/>
          <w:lang w:val="sr-Cyrl-RS"/>
        </w:rPr>
      </w:pPr>
    </w:p>
    <w:p w14:paraId="53110CB7">
      <w:pPr>
        <w:spacing w:line="259" w:lineRule="auto"/>
        <w:rPr>
          <w:sz w:val="22"/>
          <w:szCs w:val="22"/>
          <w:lang w:val="sr-Cyrl-RS"/>
        </w:rPr>
      </w:pPr>
      <w:r>
        <w:rPr>
          <w:sz w:val="22"/>
          <w:szCs w:val="22"/>
          <w:lang w:val="sr-Cyrl-RS"/>
        </w:rPr>
        <w:br w:type="page"/>
      </w:r>
    </w:p>
    <w:tbl>
      <w:tblPr>
        <w:tblStyle w:val="4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5997C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55" w:type="dxa"/>
          </w:tcPr>
          <w:p w14:paraId="5021B307">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1.3</w:t>
            </w:r>
          </w:p>
          <w:p w14:paraId="37DDF89F">
            <w:pPr>
              <w:spacing w:after="0" w:line="240" w:lineRule="auto"/>
              <w:contextualSpacing/>
              <w:rPr>
                <w:rFonts w:ascii="Times New Roman" w:hAnsi="Times New Roman" w:eastAsia="Times New Roman" w:cs="Times New Roman"/>
                <w:b/>
                <w:kern w:val="0"/>
                <w:sz w:val="22"/>
                <w:szCs w:val="22"/>
                <w:lang w:val="sr-Cyrl-RS" w:eastAsia="en-GB"/>
              </w:rPr>
            </w:pPr>
            <w:r>
              <w:rPr>
                <w:rFonts w:ascii="Times New Roman" w:hAnsi="Times New Roman" w:eastAsia="Times New Roman" w:cs="Times New Roman"/>
                <w:b/>
                <w:kern w:val="0"/>
                <w:sz w:val="22"/>
                <w:szCs w:val="22"/>
                <w:lang w:val="sr-Cyrl-RS" w:eastAsia="en-GB"/>
              </w:rPr>
              <w:t>Дигитализација туристичке понуде и увођење паметних решења за туристе</w:t>
            </w:r>
          </w:p>
        </w:tc>
      </w:tr>
      <w:tr w14:paraId="7683B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EB5546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Мера/Пројекат (број/опис): 1.3.3</w:t>
            </w:r>
          </w:p>
          <w:p w14:paraId="7D746CE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Rich media content – мултимедијално, виртуелно и друго дититално представљање туристичке понуде и туристичких производа</w:t>
            </w:r>
          </w:p>
        </w:tc>
      </w:tr>
      <w:tr w14:paraId="37DE8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6ABE4C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7B744DE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Мера се односи на развој и примену савремених мултимедијалних и дигиталних садржаја за промоцију туристичке понуде града, укључујући видео продукцију, виртуелне туре, 360° приказе и интерактивне презентације. Циљ је унапређење дигиталног доживљаја дестинације кроз  иновативне формате који ће туристима омогућити да се унапред упознају са понудом,као и повећање видљивости  дестинације на дигиталним каналима.</w:t>
            </w:r>
          </w:p>
        </w:tc>
      </w:tr>
      <w:tr w14:paraId="049B3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6DFB1ED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Активности 1.3.3:</w:t>
            </w:r>
          </w:p>
          <w:p w14:paraId="55DA6469">
            <w:pPr>
              <w:numPr>
                <w:ilvl w:val="0"/>
                <w:numId w:val="47"/>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Израда мултимедијалног садржаја (промо видео материјали, фотографије, 360° и ВР туре)</w:t>
            </w:r>
          </w:p>
          <w:p w14:paraId="364AEF61">
            <w:pPr>
              <w:numPr>
                <w:ilvl w:val="0"/>
                <w:numId w:val="47"/>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Дигитализација и презентација туристичких атракција кроз интерактивне формате</w:t>
            </w:r>
          </w:p>
          <w:p w14:paraId="73CE30E8">
            <w:pPr>
              <w:numPr>
                <w:ilvl w:val="0"/>
                <w:numId w:val="47"/>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Постављање и дистрибуција садржаја на дигиталним платформама и друштвеним мрежама.</w:t>
            </w:r>
          </w:p>
          <w:p w14:paraId="483717DC">
            <w:pPr>
              <w:spacing w:after="0" w:line="276" w:lineRule="auto"/>
              <w:ind w:left="720"/>
              <w:contextualSpacing/>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Део ових активности примењен је кроз пројекат Дигитализација туристичке понуде Србије</w:t>
            </w:r>
          </w:p>
        </w:tc>
      </w:tr>
      <w:tr w14:paraId="74DCD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2612BDF">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Процењена вредност: 150.000 – 250.000 ЕУР (период 2026–2030, у зависности од обима и квалитета продукције садржаја)__________</w:t>
            </w:r>
          </w:p>
        </w:tc>
      </w:tr>
      <w:tr w14:paraId="69539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84EFD2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Извори финансирања: Буџет Града Пирота; Министарство привреде; Фонд за иновациону делатност; EU програми (IPA, Horizon Europe – посредно); Развојне банке; Донаторски програми; Јавно-приватна партнерства</w:t>
            </w:r>
          </w:p>
        </w:tc>
      </w:tr>
      <w:tr w14:paraId="3FE74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7BD3000">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Носилац реализације: Град Пирот (Одељење за локални економски развој)</w:t>
            </w:r>
          </w:p>
        </w:tc>
      </w:tr>
      <w:tr w14:paraId="16340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730CCF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Регионална привредна комора; НАЛЕД; Развојна агенција; Локална ИТ заједница; Фонд за иновациону делатност; Универзитети/факултети; Банкарски сектор</w:t>
            </w:r>
          </w:p>
        </w:tc>
      </w:tr>
      <w:tr w14:paraId="0608D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5C307A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Туристи (домаћи и страни); Туристичка организација; Културне институције; Локални туристички и угоститељски субјекти; Креативна индустрија (видео продукција, маркетинг); ИТ сектор</w:t>
            </w:r>
          </w:p>
        </w:tc>
      </w:tr>
      <w:tr w14:paraId="4EA12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D6EDDB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Рок за реализацију </w:t>
            </w:r>
          </w:p>
          <w:p w14:paraId="413D706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2026 – планирање и почетак израде садржаја;</w:t>
            </w:r>
            <w:r>
              <w:rPr>
                <w:rFonts w:ascii="Times New Roman" w:hAnsi="Times New Roman" w:eastAsia="Calibri" w:cs="Times New Roman"/>
                <w:sz w:val="22"/>
                <w:szCs w:val="22"/>
                <w:lang w:val="sr-Cyrl-RS"/>
              </w:rPr>
              <w:br w:type="textWrapping"/>
            </w:r>
            <w:r>
              <w:rPr>
                <w:rFonts w:ascii="Times New Roman" w:hAnsi="Times New Roman" w:eastAsia="Calibri" w:cs="Times New Roman"/>
                <w:sz w:val="22"/>
                <w:szCs w:val="22"/>
                <w:lang w:val="sr-Cyrl-RS"/>
              </w:rPr>
              <w:t>2027–2028 – интензивна продукција и дигитална дистрибуција садржаја;</w:t>
            </w:r>
            <w:r>
              <w:rPr>
                <w:rFonts w:ascii="Times New Roman" w:hAnsi="Times New Roman" w:eastAsia="Calibri" w:cs="Times New Roman"/>
                <w:sz w:val="22"/>
                <w:szCs w:val="22"/>
                <w:lang w:val="sr-Cyrl-RS"/>
              </w:rPr>
              <w:br w:type="textWrapping"/>
            </w:r>
            <w:r>
              <w:rPr>
                <w:rFonts w:ascii="Times New Roman" w:hAnsi="Times New Roman" w:eastAsia="Calibri" w:cs="Times New Roman"/>
                <w:sz w:val="22"/>
                <w:szCs w:val="22"/>
                <w:lang w:val="sr-Cyrl-RS"/>
              </w:rPr>
              <w:t>2029–2030 – континуирано унапређење, ажурирање и промоција садржаја</w:t>
            </w:r>
          </w:p>
          <w:p w14:paraId="6D0E09F7">
            <w:pPr>
              <w:spacing w:after="0" w:line="240" w:lineRule="auto"/>
              <w:rPr>
                <w:rFonts w:ascii="Times New Roman" w:hAnsi="Times New Roman" w:eastAsia="Calibri" w:cs="Times New Roman"/>
                <w:sz w:val="22"/>
                <w:szCs w:val="22"/>
                <w:lang w:val="sr-Cyrl-RS"/>
              </w:rPr>
            </w:pPr>
          </w:p>
        </w:tc>
      </w:tr>
      <w:tr w14:paraId="7A14A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8673964">
            <w:pPr>
              <w:spacing w:after="0" w:line="240" w:lineRule="auto"/>
              <w:ind w:left="720"/>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4B1166FA">
            <w:pPr>
              <w:numPr>
                <w:ilvl w:val="0"/>
                <w:numId w:val="48"/>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Број израђених мултимедијалних садржаја</w:t>
            </w:r>
          </w:p>
          <w:p w14:paraId="75A860C1">
            <w:pPr>
              <w:numPr>
                <w:ilvl w:val="0"/>
                <w:numId w:val="48"/>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Број дигитално представљених туристичких локација</w:t>
            </w:r>
          </w:p>
          <w:p w14:paraId="5794C772">
            <w:pPr>
              <w:numPr>
                <w:ilvl w:val="0"/>
                <w:numId w:val="48"/>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Број објава/дистрибуција садржаја на дигиталним каналa</w:t>
            </w:r>
          </w:p>
          <w:p w14:paraId="01B439A8">
            <w:pPr>
              <w:numPr>
                <w:ilvl w:val="0"/>
                <w:numId w:val="48"/>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Повећање прегледа и ангажовања на дигиталним платформама </w:t>
            </w:r>
          </w:p>
        </w:tc>
      </w:tr>
    </w:tbl>
    <w:p w14:paraId="04A3F7CA">
      <w:pPr>
        <w:spacing w:after="0" w:line="240" w:lineRule="auto"/>
        <w:rPr>
          <w:sz w:val="22"/>
          <w:szCs w:val="22"/>
          <w:lang w:val="sr-Cyrl-RS"/>
        </w:rPr>
      </w:pPr>
    </w:p>
    <w:p w14:paraId="2165BC41">
      <w:pPr>
        <w:spacing w:line="259" w:lineRule="auto"/>
        <w:rPr>
          <w:sz w:val="22"/>
          <w:szCs w:val="22"/>
          <w:lang w:val="sr-Cyrl-RS"/>
        </w:rPr>
      </w:pPr>
      <w:r>
        <w:rPr>
          <w:sz w:val="22"/>
          <w:szCs w:val="22"/>
          <w:lang w:val="sr-Cyrl-RS"/>
        </w:rPr>
        <w:br w:type="page"/>
      </w:r>
    </w:p>
    <w:tbl>
      <w:tblPr>
        <w:tblStyle w:val="4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7164B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55" w:type="dxa"/>
          </w:tcPr>
          <w:p w14:paraId="56F3C21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1.3</w:t>
            </w:r>
          </w:p>
          <w:p w14:paraId="606A845C">
            <w:pPr>
              <w:spacing w:after="0" w:line="240" w:lineRule="auto"/>
              <w:contextualSpacing/>
              <w:rPr>
                <w:rFonts w:ascii="Times New Roman" w:hAnsi="Times New Roman" w:eastAsia="Times New Roman" w:cs="Times New Roman"/>
                <w:b/>
                <w:kern w:val="0"/>
                <w:sz w:val="22"/>
                <w:szCs w:val="22"/>
                <w:lang w:val="sr-Cyrl-RS" w:eastAsia="en-GB"/>
              </w:rPr>
            </w:pPr>
            <w:r>
              <w:rPr>
                <w:rFonts w:ascii="Times New Roman" w:hAnsi="Times New Roman" w:eastAsia="Times New Roman" w:cs="Times New Roman"/>
                <w:b/>
                <w:kern w:val="0"/>
                <w:sz w:val="22"/>
                <w:szCs w:val="22"/>
                <w:lang w:val="sr-Cyrl-RS" w:eastAsia="en-GB"/>
              </w:rPr>
              <w:t>Дигитализација туристичке понуде и увођење паметних решења за туристе</w:t>
            </w:r>
          </w:p>
        </w:tc>
      </w:tr>
      <w:tr w14:paraId="2B474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F97E2A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Мера/Пројекат (број/опис): 1.3.4</w:t>
            </w:r>
          </w:p>
          <w:p w14:paraId="40DE4D4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Утврђивање тренутног стања постојећих дигиталних решења у туризму и припрема плана за ревитализацију постојећих нефункционалних система  унапређење дигиталне туристичке понуде (бесплатaн брзи WiFi у културном језгру града и свим објектима културе – Момчилов град, музеј Понишавља, итд</w:t>
            </w:r>
          </w:p>
        </w:tc>
      </w:tr>
      <w:tr w14:paraId="31D01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8EAE3B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162F5B59">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Мера обухвата анализу постојећих дигиталних решења у туризму на територији града, као и израду плана за њихову ревитализацију и унапређење.Посебан фокус је на унапређењу дигиталне инфраструктуре кроз увођење бесплатног брзог WiFi интернета у културном језгру града и кључним објектима културе, са циљем побољшања доступности информација и квалитета боравка туриста, као и подршке развоју паметне туристичке дестинације.</w:t>
            </w:r>
          </w:p>
        </w:tc>
      </w:tr>
      <w:tr w14:paraId="4355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169117A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Активности 1.3.4:</w:t>
            </w:r>
          </w:p>
          <w:p w14:paraId="5745B9D6">
            <w:pPr>
              <w:numPr>
                <w:ilvl w:val="0"/>
                <w:numId w:val="49"/>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Анализа постојећих дигиталних система и инфраструктуре у туризму</w:t>
            </w:r>
          </w:p>
          <w:p w14:paraId="28F721DB">
            <w:pPr>
              <w:numPr>
                <w:ilvl w:val="0"/>
                <w:numId w:val="49"/>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Израда плана ревитализације и унапређења дигиталних решења</w:t>
            </w:r>
          </w:p>
          <w:p w14:paraId="2BDAA39B">
            <w:pPr>
              <w:numPr>
                <w:ilvl w:val="0"/>
                <w:numId w:val="49"/>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Увођење бесплатног WiFi интернета у културном језгру и објектима културе</w:t>
            </w:r>
          </w:p>
          <w:p w14:paraId="7DC32B00">
            <w:pPr>
              <w:spacing w:after="0" w:line="240" w:lineRule="auto"/>
              <w:ind w:left="720"/>
              <w:contextualSpacing/>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Део ових активности примењен је кроз пројекат Дигитализација туристичке понуде Србије</w:t>
            </w:r>
          </w:p>
        </w:tc>
      </w:tr>
      <w:tr w14:paraId="0F25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60028B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Процењена вредност: _100.000 – 180.000 ЕУР (период 2026–2030, у зависности од обима WiFi инфраструктуре и броја локација)___________</w:t>
            </w:r>
          </w:p>
        </w:tc>
      </w:tr>
      <w:tr w14:paraId="201A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A7E7350">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Извори финансирања: Буџет Града Пирота; Министарство привреде; Фонд за иновациону делатност; EU програми (IPA, Horizon Europe – посредно); Развојне банке; Донаторски програми; Јавно-приватна партнерства</w:t>
            </w:r>
          </w:p>
        </w:tc>
      </w:tr>
      <w:tr w14:paraId="1747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88D1410">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Носилац реализације: Град Пирот (Одељење за локални економски развој)</w:t>
            </w:r>
          </w:p>
        </w:tc>
      </w:tr>
      <w:tr w14:paraId="4BF49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EE2C03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Регионална привредна комора; НАЛЕД; Развојна агенција; Локална ИТ заједница; Фонд за иновациону делатност; Универзитети/факултети; Банкарски сектор</w:t>
            </w:r>
          </w:p>
        </w:tc>
      </w:tr>
      <w:tr w14:paraId="5F916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1F2ED97">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Туристи (домаћи и страни); Грађани; Културне институције; Туристичка организација; Локални туристички и угоститељски субјекти; ИТ сектор</w:t>
            </w:r>
          </w:p>
        </w:tc>
      </w:tr>
      <w:tr w14:paraId="6E9A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87E0EAA">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Рок за реализацију: </w:t>
            </w:r>
          </w:p>
          <w:p w14:paraId="47057CA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2026 – анализа постојећег стања и израда плана ревитализације;</w:t>
            </w:r>
          </w:p>
          <w:p w14:paraId="388B036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2027 – увођење WiFi инфраструктуре на приоритетним локацијама;</w:t>
            </w:r>
          </w:p>
          <w:p w14:paraId="480E7B3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2028–2030 – проширење мреже, унапређење система и одржавање</w:t>
            </w:r>
          </w:p>
        </w:tc>
      </w:tr>
      <w:tr w14:paraId="16349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471C355">
            <w:pPr>
              <w:spacing w:after="0" w:line="240" w:lineRule="auto"/>
              <w:ind w:left="720"/>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0B5F75F7">
            <w:pPr>
              <w:numPr>
                <w:ilvl w:val="0"/>
                <w:numId w:val="50"/>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Израђен план ревитализације дигиталних система</w:t>
            </w:r>
          </w:p>
          <w:p w14:paraId="683D2F4A">
            <w:pPr>
              <w:numPr>
                <w:ilvl w:val="0"/>
                <w:numId w:val="50"/>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Број унапређених или поново активираних дигиталних решења </w:t>
            </w:r>
          </w:p>
          <w:p w14:paraId="0E4C0A52">
            <w:pPr>
              <w:numPr>
                <w:ilvl w:val="0"/>
                <w:numId w:val="50"/>
              </w:num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Број локација са уведеним бесплатним WiFi интернетом </w:t>
            </w:r>
          </w:p>
        </w:tc>
      </w:tr>
    </w:tbl>
    <w:p w14:paraId="7A7E7481">
      <w:pPr>
        <w:spacing w:after="0" w:line="240" w:lineRule="auto"/>
        <w:rPr>
          <w:sz w:val="22"/>
          <w:szCs w:val="22"/>
          <w:lang w:val="sr-Cyrl-RS"/>
        </w:rPr>
      </w:pPr>
    </w:p>
    <w:p w14:paraId="6048680E">
      <w:pPr>
        <w:spacing w:line="259" w:lineRule="auto"/>
        <w:rPr>
          <w:sz w:val="22"/>
          <w:szCs w:val="22"/>
          <w:lang w:val="sr-Cyrl-RS"/>
        </w:rPr>
      </w:pPr>
      <w:r>
        <w:rPr>
          <w:sz w:val="22"/>
          <w:szCs w:val="22"/>
          <w:lang w:val="sr-Cyrl-RS"/>
        </w:rPr>
        <w:br w:type="page"/>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7E84C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4CCD034">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1.4</w:t>
            </w:r>
          </w:p>
          <w:p w14:paraId="505C430A">
            <w:pPr>
              <w:spacing w:after="0" w:line="240" w:lineRule="auto"/>
              <w:rPr>
                <w:rFonts w:ascii="Times New Roman" w:hAnsi="Times New Roman" w:cs="Times New Roman"/>
                <w:sz w:val="22"/>
                <w:szCs w:val="22"/>
                <w:lang w:val="sr-Cyrl-RS"/>
              </w:rPr>
            </w:pPr>
            <w:r>
              <w:rPr>
                <w:rFonts w:ascii="Times New Roman" w:hAnsi="Times New Roman" w:eastAsia="Times New Roman" w:cs="Times New Roman"/>
                <w:color w:val="000000"/>
                <w:kern w:val="0"/>
                <w:sz w:val="22"/>
                <w:szCs w:val="22"/>
                <w:lang w:val="sr-Cyrl-RS" w:eastAsia="en-GB"/>
              </w:rPr>
              <w:t>Подстицаји за ММСП за коришћење локално доступних обновљивих извора енергије</w:t>
            </w:r>
          </w:p>
        </w:tc>
      </w:tr>
      <w:tr w14:paraId="43B34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63603D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p>
          <w:p w14:paraId="213D31F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1.4.1 </w:t>
            </w:r>
            <w:r>
              <w:rPr>
                <w:rFonts w:ascii="Times New Roman" w:hAnsi="Times New Roman" w:eastAsia="Calibri" w:cs="Times New Roman"/>
                <w:bCs/>
                <w:color w:val="000000"/>
                <w:kern w:val="0"/>
                <w:sz w:val="22"/>
                <w:szCs w:val="22"/>
                <w:lang w:val="sr-Cyrl-RS" w:eastAsia="en-GB"/>
              </w:rPr>
              <w:t>Подстицаји и субвенције за унапређење енергетске ефикасности МСП и коришћење обновљивих извора енергије у производњи</w:t>
            </w:r>
          </w:p>
        </w:tc>
      </w:tr>
      <w:tr w14:paraId="5EB9A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FD8054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2D4E7C0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Успостављање система финансијске подршке микро, малим и средњим предузећима у циљу унапређења </w:t>
            </w:r>
            <w:r>
              <w:rPr>
                <w:rFonts w:ascii="Times New Roman" w:hAnsi="Times New Roman" w:eastAsia="Calibri" w:cs="Times New Roman"/>
                <w:bCs/>
                <w:color w:val="000000"/>
                <w:kern w:val="0"/>
                <w:sz w:val="22"/>
                <w:szCs w:val="22"/>
                <w:lang w:val="sr-Cyrl-RS" w:eastAsia="en-GB"/>
              </w:rPr>
              <w:t>енергетске ефикасности и коришћења обновљивих извора енергије у процесу производње</w:t>
            </w:r>
            <w:r>
              <w:rPr>
                <w:rFonts w:ascii="Times New Roman" w:hAnsi="Times New Roman" w:cs="Times New Roman"/>
                <w:sz w:val="22"/>
                <w:szCs w:val="22"/>
                <w:lang w:val="sr-Cyrl-RS"/>
              </w:rPr>
              <w:t>.</w:t>
            </w:r>
          </w:p>
          <w:p w14:paraId="36F83A0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обухвата субвенције за набавку опреме, инсталирање система као и  развој софтверских решења.</w:t>
            </w:r>
          </w:p>
          <w:p w14:paraId="6BD8296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 је јачање конкурентности локалне привреде, подстицање иновација и унапређење кавлитета животне средине Пирота.</w:t>
            </w:r>
          </w:p>
        </w:tc>
      </w:tr>
      <w:tr w14:paraId="19B12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3D9D4C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1.4.1:</w:t>
            </w:r>
          </w:p>
          <w:p w14:paraId="26C4EED9">
            <w:pPr>
              <w:pStyle w:val="39"/>
              <w:numPr>
                <w:ilvl w:val="0"/>
                <w:numId w:val="5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Програма финансијске подршке (критеријуми, приоритети, проценат суфинансирања, лимити).</w:t>
            </w:r>
          </w:p>
          <w:p w14:paraId="6C0BCDC6">
            <w:pPr>
              <w:pStyle w:val="39"/>
              <w:numPr>
                <w:ilvl w:val="0"/>
                <w:numId w:val="5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Спровођење годишњег јавног позива за доделу субвенција.</w:t>
            </w:r>
          </w:p>
          <w:p w14:paraId="1BE2280F">
            <w:pPr>
              <w:pStyle w:val="39"/>
              <w:numPr>
                <w:ilvl w:val="0"/>
                <w:numId w:val="5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Субвенционисање:</w:t>
            </w:r>
          </w:p>
          <w:p w14:paraId="4E277621">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спровођење мера енергетске санације производних објеката,</w:t>
            </w:r>
          </w:p>
          <w:p w14:paraId="5AEBB00C">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мере повећања енергетске фикасности опреме и система,</w:t>
            </w:r>
          </w:p>
          <w:p w14:paraId="1ECD90F5">
            <w:pPr>
              <w:pStyle w:val="39"/>
              <w:numPr>
                <w:ilvl w:val="0"/>
                <w:numId w:val="3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набавка опреме и софтвера,</w:t>
            </w:r>
          </w:p>
          <w:p w14:paraId="4F3EBD40">
            <w:pPr>
              <w:pStyle w:val="39"/>
              <w:numPr>
                <w:ilvl w:val="0"/>
                <w:numId w:val="5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Обезбеђивање техничке подршке корисницима (саветодавна подршка при припреми пројеката).</w:t>
            </w:r>
          </w:p>
          <w:p w14:paraId="34EF2D92">
            <w:pPr>
              <w:pStyle w:val="39"/>
              <w:numPr>
                <w:ilvl w:val="0"/>
                <w:numId w:val="5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механизма праћења ефеката (праћење кључних показатеља – смањење потрошње енергије, финансијкси ефекти).</w:t>
            </w:r>
          </w:p>
          <w:p w14:paraId="56B41467">
            <w:pPr>
              <w:pStyle w:val="39"/>
              <w:numPr>
                <w:ilvl w:val="0"/>
                <w:numId w:val="5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Повезивање програма са националним и међународним фондовима (Фонд за иновациону делатност, EU програми, донаторски механизми).</w:t>
            </w:r>
          </w:p>
          <w:p w14:paraId="557F8F81">
            <w:pPr>
              <w:spacing w:after="0" w:line="240" w:lineRule="auto"/>
              <w:rPr>
                <w:rFonts w:ascii="Times New Roman" w:hAnsi="Times New Roman" w:cs="Times New Roman"/>
                <w:sz w:val="22"/>
                <w:szCs w:val="22"/>
                <w:lang w:val="sr-Cyrl-RS"/>
              </w:rPr>
            </w:pPr>
          </w:p>
        </w:tc>
      </w:tr>
      <w:tr w14:paraId="105DF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CC2986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100.000 ЕУР (период 2026–2030, у зависности од обима фонда и броја корисника)</w:t>
            </w:r>
          </w:p>
        </w:tc>
      </w:tr>
      <w:tr w14:paraId="71060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F656CA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рударства и енергетике; Буџетски фонд за енергетску ефиканост републике, Фонд за иновациону делатност; EU програми (IPA, Horizon Europe – посредно); Развојне банке; Донаторски програми; Јавно-приватна партнерства</w:t>
            </w:r>
          </w:p>
        </w:tc>
      </w:tr>
      <w:tr w14:paraId="38D46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FC5F85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 Одељење за урбанизам, стамбено-комуналне послове, грађевинарство и инспекцијске послове</w:t>
            </w:r>
          </w:p>
        </w:tc>
      </w:tr>
      <w:tr w14:paraId="00A3D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74A18B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Регионална привредна комора; НАЛЕД; Развојна агенција; СКГО; Фонд за иновациону делатност; Универзитети/факултети; Банкарски сектор</w:t>
            </w:r>
          </w:p>
        </w:tc>
      </w:tr>
      <w:tr w14:paraId="460DE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98A9F4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Микро, мала и средња предузећа; Стартапи; Производни сектор;</w:t>
            </w:r>
          </w:p>
        </w:tc>
      </w:tr>
      <w:tr w14:paraId="6CC11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DC1CC2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успостављање програма ;</w:t>
            </w:r>
          </w:p>
          <w:p w14:paraId="2EC23D9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2027–2030 – годишњи јавни позиви и праћење ефеката.</w:t>
            </w:r>
          </w:p>
        </w:tc>
      </w:tr>
      <w:tr w14:paraId="7D922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622ADA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3B6C4FB5">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Усвојен Програм финансијске подршке</w:t>
            </w:r>
          </w:p>
          <w:p w14:paraId="453AB882">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подржаних ММСП (минимум 10 до 2030.)</w:t>
            </w:r>
          </w:p>
          <w:p w14:paraId="78C52053">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Укупна вредност суфинансираних пројеката</w:t>
            </w:r>
          </w:p>
          <w:p w14:paraId="3D760CD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смањења потрошње енергије</w:t>
            </w:r>
          </w:p>
          <w:p w14:paraId="74D72AC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Пораст продуктивности/прихода код подржаних ММСП</w:t>
            </w:r>
          </w:p>
        </w:tc>
      </w:tr>
      <w:tr w14:paraId="424F5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A40EBFF">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1.4</w:t>
            </w:r>
          </w:p>
          <w:p w14:paraId="57AA7B77">
            <w:pPr>
              <w:spacing w:after="0" w:line="240" w:lineRule="auto"/>
              <w:rPr>
                <w:rFonts w:ascii="Times New Roman" w:hAnsi="Times New Roman" w:cs="Times New Roman"/>
                <w:sz w:val="22"/>
                <w:szCs w:val="22"/>
                <w:lang w:val="sr-Cyrl-RS"/>
              </w:rPr>
            </w:pPr>
            <w:r>
              <w:rPr>
                <w:rFonts w:ascii="Times New Roman" w:hAnsi="Times New Roman" w:eastAsia="Times New Roman" w:cs="Times New Roman"/>
                <w:color w:val="000000"/>
                <w:kern w:val="0"/>
                <w:sz w:val="22"/>
                <w:szCs w:val="22"/>
                <w:lang w:val="sr-Cyrl-RS" w:eastAsia="en-GB"/>
              </w:rPr>
              <w:t>Подстицаји за ММСП за коришћење локално доступних обновљивих извора енергије</w:t>
            </w:r>
          </w:p>
        </w:tc>
      </w:tr>
      <w:tr w14:paraId="5CD8D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8FB542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r>
              <w:rPr>
                <w:rFonts w:ascii="Times New Roman" w:hAnsi="Times New Roman" w:eastAsia="Calibri" w:cs="Times New Roman"/>
                <w:bCs/>
                <w:color w:val="000000" w:themeColor="text1"/>
                <w:kern w:val="0"/>
                <w:sz w:val="22"/>
                <w:szCs w:val="22"/>
                <w:lang w:val="sr-Cyrl-RS" w:eastAsia="en-GB"/>
                <w14:textFill>
                  <w14:solidFill>
                    <w14:schemeClr w14:val="tx1"/>
                  </w14:solidFill>
                </w14:textFill>
              </w:rPr>
              <w:t>1.4.2 Подршка унапређењу производних процеса кроз уштеде у енергији</w:t>
            </w:r>
          </w:p>
        </w:tc>
      </w:tr>
      <w:tr w14:paraId="541E0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61A025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2ED891F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система финансијске подршке привредним субјектима  ради промене и прилагођавања производних процеса и увођење нових технологија које за циљ имају смањење потрошње енергије и промену структуре извора енергије.</w:t>
            </w:r>
          </w:p>
          <w:p w14:paraId="456523D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 је јачање конкурентности локалне привреде, подстицање иновација и унапређење кавлитета животне средине Пирота. </w:t>
            </w:r>
          </w:p>
        </w:tc>
      </w:tr>
      <w:tr w14:paraId="6CF5F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FC36FC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1.4.2:</w:t>
            </w:r>
          </w:p>
          <w:p w14:paraId="27A4FF50">
            <w:pPr>
              <w:pStyle w:val="39"/>
              <w:numPr>
                <w:ilvl w:val="1"/>
                <w:numId w:val="52"/>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sz w:val="22"/>
                <w:szCs w:val="22"/>
                <w:lang w:val="sr-Cyrl-RS"/>
              </w:rPr>
              <w:t>Израда Програма финансијске подршке (критеријуми, приоритети, проценат суфинансирања, лимити).</w:t>
            </w:r>
          </w:p>
          <w:p w14:paraId="7FE372DB">
            <w:pPr>
              <w:pStyle w:val="39"/>
              <w:numPr>
                <w:ilvl w:val="1"/>
                <w:numId w:val="52"/>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sz w:val="22"/>
                <w:szCs w:val="22"/>
                <w:lang w:val="sr-Cyrl-RS"/>
              </w:rPr>
              <w:t>Спровођење годишњег јавног позива за доделу субвенција.</w:t>
            </w:r>
          </w:p>
          <w:p w14:paraId="53BA30BF">
            <w:pPr>
              <w:pStyle w:val="39"/>
              <w:numPr>
                <w:ilvl w:val="1"/>
                <w:numId w:val="52"/>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sz w:val="22"/>
                <w:szCs w:val="22"/>
                <w:lang w:val="sr-Cyrl-RS"/>
              </w:rPr>
              <w:t>Субвенционисање:</w:t>
            </w:r>
          </w:p>
          <w:p w14:paraId="28ECEC86">
            <w:pPr>
              <w:pStyle w:val="39"/>
              <w:numPr>
                <w:ilvl w:val="0"/>
                <w:numId w:val="53"/>
              </w:numPr>
              <w:spacing w:after="0" w:line="240" w:lineRule="auto"/>
              <w:ind w:left="1440" w:hanging="284"/>
              <w:rPr>
                <w:rFonts w:ascii="Times New Roman" w:hAnsi="Times New Roman" w:cs="Times New Roman"/>
                <w:sz w:val="22"/>
                <w:szCs w:val="22"/>
                <w:lang w:val="sr-Cyrl-RS"/>
              </w:rPr>
            </w:pPr>
            <w:r>
              <w:rPr>
                <w:rFonts w:ascii="Times New Roman" w:hAnsi="Times New Roman" w:cs="Times New Roman"/>
                <w:sz w:val="22"/>
                <w:szCs w:val="22"/>
                <w:lang w:val="sr-Cyrl-RS"/>
              </w:rPr>
              <w:t>иновативних идеја и решења,</w:t>
            </w:r>
          </w:p>
          <w:p w14:paraId="243AA20E">
            <w:pPr>
              <w:pStyle w:val="39"/>
              <w:numPr>
                <w:ilvl w:val="0"/>
                <w:numId w:val="53"/>
              </w:numPr>
              <w:spacing w:after="0" w:line="240" w:lineRule="auto"/>
              <w:ind w:left="1440" w:hanging="284"/>
              <w:rPr>
                <w:rFonts w:ascii="Times New Roman" w:hAnsi="Times New Roman" w:cs="Times New Roman"/>
                <w:sz w:val="22"/>
                <w:szCs w:val="22"/>
                <w:lang w:val="sr-Cyrl-RS"/>
              </w:rPr>
            </w:pPr>
            <w:r>
              <w:rPr>
                <w:rFonts w:ascii="Times New Roman" w:hAnsi="Times New Roman" w:cs="Times New Roman"/>
                <w:sz w:val="22"/>
                <w:szCs w:val="22"/>
                <w:lang w:val="sr-Cyrl-RS"/>
              </w:rPr>
              <w:t>набавка опреме и софтвера,</w:t>
            </w:r>
          </w:p>
          <w:p w14:paraId="7867B099">
            <w:pPr>
              <w:pStyle w:val="39"/>
              <w:numPr>
                <w:ilvl w:val="1"/>
                <w:numId w:val="52"/>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sz w:val="22"/>
                <w:szCs w:val="22"/>
                <w:lang w:val="sr-Cyrl-RS"/>
              </w:rPr>
              <w:t>Обезбеђивање техничке подршке корисницима (саветодавна подршка при припреми пројеката).</w:t>
            </w:r>
          </w:p>
          <w:p w14:paraId="3CEEE2A8">
            <w:pPr>
              <w:pStyle w:val="39"/>
              <w:numPr>
                <w:ilvl w:val="1"/>
                <w:numId w:val="52"/>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механизма праћења ефеката (праћење кључних показатеља – смањење потрошње енергије, финансијски ефекти).</w:t>
            </w:r>
          </w:p>
          <w:p w14:paraId="337A1149">
            <w:pPr>
              <w:pStyle w:val="39"/>
              <w:numPr>
                <w:ilvl w:val="1"/>
                <w:numId w:val="52"/>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sz w:val="22"/>
                <w:szCs w:val="22"/>
                <w:lang w:val="sr-Cyrl-RS"/>
              </w:rPr>
              <w:t>Повезивање програма са националним и међународним фондовима (Фонд за иновациону делатност, EU програми, донаторски механизми).</w:t>
            </w:r>
          </w:p>
        </w:tc>
      </w:tr>
      <w:tr w14:paraId="1F09E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327F5B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100.000 ЕУР (период 2026–2030, у зависности од обима фонда и броја корисника)</w:t>
            </w:r>
          </w:p>
        </w:tc>
      </w:tr>
      <w:tr w14:paraId="47523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AF6C0E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рударства и енергетике; Буџетски фонд за енергетску ефиканост републике, Фонд за иновациону делатност; EU програми (IPA, Horizon Europe – посредно); Развојне банке; Донаторски програми; Јавно-приватна партнерства</w:t>
            </w:r>
          </w:p>
        </w:tc>
      </w:tr>
      <w:tr w14:paraId="737E0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7C09E1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 Одељење за урбанизам, стамбено-комуналне послове, грађевинарство и инспекцијске послове</w:t>
            </w:r>
            <w:r>
              <w:rPr>
                <w:rFonts w:ascii="Times New Roman" w:hAnsi="Times New Roman" w:cs="Times New Roman"/>
                <w:sz w:val="22"/>
                <w:szCs w:val="22"/>
                <w:lang w:val="sr-Cyrl-RS"/>
              </w:rPr>
              <w:t xml:space="preserve"> </w:t>
            </w:r>
          </w:p>
        </w:tc>
      </w:tr>
      <w:tr w14:paraId="64986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50825A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Регионална привредна комора; НАЛЕД; Развојна агенција; СКГО; Фонд за иновациону делатност; Универзитети/факултети; Банкарски сектор</w:t>
            </w:r>
          </w:p>
        </w:tc>
      </w:tr>
      <w:tr w14:paraId="37E90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5ADCEF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Микро, мала и средња предузећа; Стартапи; Производни сектор;</w:t>
            </w:r>
          </w:p>
        </w:tc>
      </w:tr>
      <w:tr w14:paraId="3C695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15A281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успостављање програма;</w:t>
            </w:r>
          </w:p>
          <w:p w14:paraId="7AC0402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2027–2030 – годишњи јавни позиви и праћење ефеката.</w:t>
            </w:r>
          </w:p>
        </w:tc>
      </w:tr>
      <w:tr w14:paraId="252A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FB0C5B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2B9E0BFF">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Усвојен Програм финансијске подршке</w:t>
            </w:r>
          </w:p>
          <w:p w14:paraId="693EFB8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подржаних идеја(минимум 10 до 2030.)</w:t>
            </w:r>
          </w:p>
          <w:p w14:paraId="3044EF6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Укупна вредност суфинансираних пројеката</w:t>
            </w:r>
          </w:p>
          <w:p w14:paraId="5FA0BEBF">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смањења потрошње енергије</w:t>
            </w:r>
          </w:p>
          <w:p w14:paraId="34C2830C">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Пораст продуктивности/прихода </w:t>
            </w:r>
          </w:p>
        </w:tc>
      </w:tr>
    </w:tbl>
    <w:p w14:paraId="60C55BD6">
      <w:pPr>
        <w:spacing w:line="259" w:lineRule="auto"/>
        <w:rPr>
          <w:sz w:val="22"/>
          <w:szCs w:val="22"/>
          <w:lang w:val="sr-Cyrl-RS"/>
        </w:rPr>
      </w:pPr>
    </w:p>
    <w:p w14:paraId="1D9B6287">
      <w:pPr>
        <w:rPr>
          <w:color w:val="000000" w:themeColor="text1"/>
          <w:lang w:val="sr-Cyrl-RS"/>
          <w14:textFill>
            <w14:solidFill>
              <w14:schemeClr w14:val="tx1"/>
            </w14:solidFill>
          </w14:textFill>
        </w:rPr>
      </w:pPr>
      <w:r>
        <w:rPr>
          <w:color w:val="000000" w:themeColor="text1"/>
          <w:lang w:val="sr-Cyrl-RS"/>
          <w14:textFill>
            <w14:solidFill>
              <w14:schemeClr w14:val="tx1"/>
            </w14:solidFill>
          </w14:textFill>
        </w:rPr>
        <w:br w:type="page"/>
      </w:r>
    </w:p>
    <w:p w14:paraId="026C5BBA">
      <w:pPr>
        <w:rPr>
          <w:b/>
          <w:color w:val="000000" w:themeColor="text1"/>
          <w:lang w:val="sr-Cyrl-RS"/>
          <w14:textFill>
            <w14:solidFill>
              <w14:schemeClr w14:val="tx1"/>
            </w14:solidFill>
          </w14:textFill>
        </w:rPr>
      </w:pPr>
      <w:r>
        <w:rPr>
          <w:b/>
          <w:color w:val="000000" w:themeColor="text1"/>
          <w:lang w:val="sr-Cyrl-RS"/>
          <w14:textFill>
            <w14:solidFill>
              <w14:schemeClr w14:val="tx1"/>
            </w14:solidFill>
          </w14:textFill>
        </w:rPr>
        <w:t>Приоритетна област 2: Паметна урбана мобилност</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19D0A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FD368CD">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0C6856A5">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2.1 Приступачност саобраћајне инфраструктуре, објеката, услуга и садржаја свим групама становништва</w:t>
            </w:r>
          </w:p>
        </w:tc>
      </w:tr>
      <w:tr w14:paraId="6B130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91A253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Мера/Пројекат: 2.1.1 Унапређење приступачности јавних услуга, објеката и информација за особе са инвалидитетом и друге осетљиве групе</w:t>
            </w:r>
          </w:p>
        </w:tc>
      </w:tr>
      <w:tr w14:paraId="1714B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31A628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приступачности јавних услуга, инфраструктуре и информација за све групе становништва, са посебним фокусом на особе са инвалидитетом, старије особе и друге осетљиве групе, кроз примену стандарда приступачности, увођење дигиталних алата и унапређење комуникације са корисницима.</w:t>
            </w:r>
          </w:p>
          <w:p w14:paraId="36427C88">
            <w:pPr>
              <w:spacing w:after="0" w:line="240" w:lineRule="auto"/>
              <w:rPr>
                <w:rFonts w:ascii="Times New Roman" w:hAnsi="Times New Roman" w:cs="Times New Roman"/>
                <w:sz w:val="22"/>
                <w:szCs w:val="22"/>
                <w:lang w:val="sr-Cyrl-RS"/>
              </w:rPr>
            </w:pPr>
          </w:p>
          <w:p w14:paraId="2FB03CA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систематско унапређење приступачности јавних објеката и услуга, развој и одржавање мапе приступачности, прилагођавање комуникационих канала и информација различитим групама корисника и подршку равноправном учешћу свих грађана у друштвеном животу. Посебан фокус мере је на обезбеђивању једнаког приступа услугама и садржајима, унапређењу информисања осетљивих група, развоју дигиталних и физичких решења за приступачност, повећању безбедности и самосталности корисника, усклађивању инфраструктуре са стандардима приступачности.</w:t>
            </w:r>
          </w:p>
        </w:tc>
      </w:tr>
      <w:tr w14:paraId="6CF7B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20EADC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2.1.1:</w:t>
            </w:r>
          </w:p>
          <w:p w14:paraId="582CAB3D">
            <w:pPr>
              <w:pStyle w:val="39"/>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приступачности јавних објеката, услуга и информација на територији града.</w:t>
            </w:r>
          </w:p>
          <w:p w14:paraId="44B2331A">
            <w:pPr>
              <w:pStyle w:val="39"/>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приступачних услуга за особе са инвалидитетом, слепе, слабовиде, глуве и особе са оштећеним слухом, укључујући прилагођавање физичког окружења, информационих система, веб сајта и начина комуникације.</w:t>
            </w:r>
          </w:p>
          <w:p w14:paraId="035F5486">
            <w:pPr>
              <w:pStyle w:val="39"/>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и објављивање мапе приступачности јавних објеката, институција и услуга која садржи податке о приступачности објеката, саобраћајних површина и услуга.</w:t>
            </w:r>
          </w:p>
          <w:p w14:paraId="7B3A579E">
            <w:pPr>
              <w:pStyle w:val="39"/>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Прилагођавање комуникационих канала и информација потребама корисника, укључујући једноставан језик, визуелне и аудио информације и дигиталне формате приступачне особама са инвалидитетом.</w:t>
            </w:r>
          </w:p>
          <w:p w14:paraId="0840386C">
            <w:pPr>
              <w:pStyle w:val="39"/>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обука за запослене у јавним службама о приступачности и комуникацији са осетљивим групама.</w:t>
            </w:r>
          </w:p>
          <w:p w14:paraId="22C129A1">
            <w:pPr>
              <w:pStyle w:val="39"/>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Сарадња са организацијама особа са инвалидитетом у циљу идентификације проблема и унапређења услуга.</w:t>
            </w:r>
          </w:p>
          <w:p w14:paraId="6766C746">
            <w:pPr>
              <w:numPr>
                <w:ilvl w:val="0"/>
                <w:numId w:val="5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примене стандарда приступачности и редовно унапређење система.</w:t>
            </w:r>
          </w:p>
        </w:tc>
      </w:tr>
      <w:tr w14:paraId="1934A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5DC22E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 – 20.000 ЕУР (период 2026–2030)</w:t>
            </w:r>
          </w:p>
        </w:tc>
      </w:tr>
      <w:tr w14:paraId="7A7B6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3FD60E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за рад, запошљавање, борачка и социјална питања, Министарство грађевинарства, саобраћаја и инфраструктуре, национални и међународни програми у области приступачности и инклузије, донаторски програми, EU фондови.</w:t>
            </w:r>
          </w:p>
        </w:tc>
      </w:tr>
      <w:tr w14:paraId="16EFE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A388FC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друштвене делатности)</w:t>
            </w:r>
          </w:p>
        </w:tc>
      </w:tr>
      <w:tr w14:paraId="4BA08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C87AA6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Јавна предузећа и установе, организације особа са инвалидитетом, Центар за социјални рад, здравствене установе, образовне институције, невладине организације, ИТ компаније.</w:t>
            </w:r>
          </w:p>
        </w:tc>
      </w:tr>
      <w:tr w14:paraId="463C6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8B015A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Особе са инвалидитетом, слепе и слабовиде особе, глуве и наглуве особе, старије особе, деца, грађани, посетиоци града.</w:t>
            </w:r>
          </w:p>
        </w:tc>
      </w:tr>
      <w:tr w14:paraId="565E3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5D2E31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приступачности; 2027 - израда мапе приступачности; 2028–2030 – редовно ажурирање мапе, прилагођавање услуга и комуникационих канала и унапређење приступачности.</w:t>
            </w:r>
          </w:p>
        </w:tc>
      </w:tr>
      <w:tr w14:paraId="2EDBE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78517E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47F2B4EF">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израђена мапа приступачности</w:t>
            </w:r>
          </w:p>
          <w:p w14:paraId="451421B2">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јавних објеката обухваћених мапом</w:t>
            </w:r>
          </w:p>
          <w:p w14:paraId="305D809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који користе мапу приступачности</w:t>
            </w:r>
          </w:p>
          <w:p w14:paraId="0E1AA29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ниво задовољства корисника приступачношћу услуга</w:t>
            </w:r>
          </w:p>
        </w:tc>
      </w:tr>
      <w:tr w14:paraId="274D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B9B3E14">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3DA969D2">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2.1 Приступачност саобраћајне инфраструктуре, објеката, услуга и садржаја свим групама становништва</w:t>
            </w:r>
          </w:p>
        </w:tc>
      </w:tr>
      <w:tr w14:paraId="41679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3F6A69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0862627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2.1.2 Подршка дигиталној инклузији грађана и коришћењу електронских услуга</w:t>
            </w:r>
          </w:p>
        </w:tc>
      </w:tr>
      <w:tr w14:paraId="5DF1C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EFD524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дигиталне инклузије грађана кроз обезбеђивање приступа интернету и електронским услугама, јачање дигиталних вештина становништва и повећање коришћења електронских услуга јавне управе.</w:t>
            </w:r>
          </w:p>
          <w:p w14:paraId="174A1728">
            <w:pPr>
              <w:spacing w:after="0" w:line="240" w:lineRule="auto"/>
              <w:rPr>
                <w:rFonts w:ascii="Times New Roman" w:hAnsi="Times New Roman" w:cs="Times New Roman"/>
                <w:sz w:val="22"/>
                <w:szCs w:val="22"/>
                <w:lang w:val="sr-Cyrl-RS"/>
              </w:rPr>
            </w:pPr>
          </w:p>
          <w:p w14:paraId="1067173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успостављање пунктова за приступ интернету и е-услугама у просторијама општинске управе и другим јавним објектима, пружање подршке грађанима у коришћењу дигиталних услуга, организацију обука за дигиталну писменост и систематско информисање јавности о доступним електронским услугама.</w:t>
            </w:r>
          </w:p>
        </w:tc>
      </w:tr>
      <w:tr w14:paraId="62B7C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F3E7E9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2.1.2:</w:t>
            </w:r>
          </w:p>
          <w:p w14:paraId="3B8AA837">
            <w:pPr>
              <w:pStyle w:val="39"/>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пунктова за приступ интернету и електронским услугама у услужном центру градске управе и другим јавним објектима.</w:t>
            </w:r>
          </w:p>
          <w:p w14:paraId="51642583">
            <w:pPr>
              <w:pStyle w:val="39"/>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Обезбеђивање техничке опреме за коришћење електронских услуга, укључујући рачунаре, интернет приступ и подршку корисницима.</w:t>
            </w:r>
          </w:p>
          <w:p w14:paraId="0A000323">
            <w:pPr>
              <w:pStyle w:val="39"/>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Пружање директне подршке старијим грађанима и другим осетљивим групама у коришћењу електронских услуга еУправе.</w:t>
            </w:r>
          </w:p>
          <w:p w14:paraId="3D850273">
            <w:pPr>
              <w:pStyle w:val="39"/>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Организовање обука и радионица за унапређење дигиталне писмености грађана.</w:t>
            </w:r>
          </w:p>
          <w:p w14:paraId="32BBBA1D">
            <w:pPr>
              <w:pStyle w:val="39"/>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Укључивање волонтера, ученика и студената у програме подршке грађанима у коришћењу електронских услуга.</w:t>
            </w:r>
          </w:p>
          <w:p w14:paraId="66DFB72F">
            <w:pPr>
              <w:pStyle w:val="39"/>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кампања информисања грађана о предностима коришћења електронских услуга.</w:t>
            </w:r>
          </w:p>
          <w:p w14:paraId="2F837F4F">
            <w:pPr>
              <w:numPr>
                <w:ilvl w:val="0"/>
                <w:numId w:val="5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коришћења пунктова и програма обуке и унапређење активности на основу повратних информација корисника.</w:t>
            </w:r>
          </w:p>
        </w:tc>
      </w:tr>
      <w:tr w14:paraId="52723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09FEDC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 – 20.000 ЕУР (период 2026–2030)</w:t>
            </w:r>
          </w:p>
        </w:tc>
      </w:tr>
      <w:tr w14:paraId="6ED71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1AD425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Канцелатија за ИТ и еУправу, национални и међународни програми у области приступачности и инклузије, донаторски програми, EU фондови.</w:t>
            </w:r>
          </w:p>
        </w:tc>
      </w:tr>
      <w:tr w14:paraId="13F85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D1E06D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општу управу)</w:t>
            </w:r>
          </w:p>
        </w:tc>
      </w:tr>
      <w:tr w14:paraId="683C2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A72FC0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Јавне установе, Центар за социјални рад, образовне институције, библиотеке, организације цивилног друштва, волонтерске организације.</w:t>
            </w:r>
          </w:p>
        </w:tc>
      </w:tr>
      <w:tr w14:paraId="4C736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75BEBD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Старије особе, особе са инвалидитетом, незапослена лица, становници руралних подручја, грађани који немају приступ интернету или дигиталним уређајима, шира популација.</w:t>
            </w:r>
          </w:p>
        </w:tc>
      </w:tr>
      <w:tr w14:paraId="45001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1C6DC5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успостављање пунктова и почетак програма подршке и обука, 2027–2030 – континуирано пружање подршке грађанима, организација обука и информисање јавности о електронским услугама.</w:t>
            </w:r>
          </w:p>
        </w:tc>
      </w:tr>
      <w:tr w14:paraId="2F174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FAA5CA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35B0E854">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успостављених пунктова за приступ интернету и е-услугама</w:t>
            </w:r>
          </w:p>
          <w:p w14:paraId="5ECDB5C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пунктова</w:t>
            </w:r>
          </w:p>
          <w:p w14:paraId="14C49121">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информативних кампања</w:t>
            </w:r>
          </w:p>
          <w:p w14:paraId="54006B0A">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повећање броја корисника електронских услуга</w:t>
            </w:r>
          </w:p>
        </w:tc>
      </w:tr>
    </w:tbl>
    <w:p w14:paraId="2AF7D372">
      <w:pPr>
        <w:spacing w:after="0" w:line="240" w:lineRule="auto"/>
        <w:rPr>
          <w:sz w:val="22"/>
          <w:szCs w:val="22"/>
          <w:lang w:val="sr-Cyrl-RS"/>
        </w:rPr>
      </w:pPr>
    </w:p>
    <w:p w14:paraId="00779270">
      <w:pPr>
        <w:spacing w:after="0" w:line="240" w:lineRule="auto"/>
        <w:rPr>
          <w:sz w:val="22"/>
          <w:szCs w:val="22"/>
          <w:lang w:val="sr-Cyrl-RS"/>
        </w:rPr>
      </w:pPr>
    </w:p>
    <w:p w14:paraId="063973E2">
      <w:pPr>
        <w:spacing w:line="259" w:lineRule="auto"/>
        <w:rPr>
          <w:sz w:val="22"/>
          <w:szCs w:val="22"/>
          <w:lang w:val="sr-Cyrl-RS"/>
        </w:rPr>
      </w:pPr>
      <w:r>
        <w:rPr>
          <w:sz w:val="22"/>
          <w:szCs w:val="22"/>
          <w:lang w:val="sr-Cyrl-RS"/>
        </w:rPr>
        <w:br w:type="page"/>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4FB84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51F6A7C">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01450408">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2.2 Развој паметне саобраћајне инфраструктуре и сигнализације</w:t>
            </w:r>
          </w:p>
        </w:tc>
      </w:tr>
      <w:tr w14:paraId="3444D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B8D748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2CBB9B6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2.2.1 Имплементација интелигентних система за управљање саобраћајем и брзинама</w:t>
            </w:r>
          </w:p>
        </w:tc>
      </w:tr>
      <w:tr w14:paraId="664D7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0137A0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нивоа безбедности и ефикасности саобраћаја применом интелигентних система за управљање брзинама и саобраћајем, укључујући адаптибилне системе за управљање семафорима, знакове са изменљивим порукама (VMS) и системе за контролу саобраћаја (TCS). Ови системи омогућавају даљинско праћење и управљање саобраћајем у реалном времену путем Ethernet или GSM/GPRS веза, побољшавајући безбедност, проток саобраћаја и ефикасност управљања раскрсницама.</w:t>
            </w:r>
          </w:p>
          <w:p w14:paraId="163CC7B1">
            <w:pPr>
              <w:spacing w:after="0" w:line="240" w:lineRule="auto"/>
              <w:rPr>
                <w:rFonts w:ascii="Times New Roman" w:hAnsi="Times New Roman" w:cs="Times New Roman"/>
                <w:sz w:val="22"/>
                <w:szCs w:val="22"/>
                <w:lang w:val="sr-Cyrl-RS"/>
              </w:rPr>
            </w:pPr>
          </w:p>
          <w:p w14:paraId="34C59BC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увођење паметних решења за праћење стања на раскрсницама и прилагођавање рада семафора у складу са интензитетом саобраћаја, као и примену система за контролу брзине и упозоравање возача на прекорачење дозвољене брзине. Посебан значај има инсталирање камера и других уређаја за идентификацију и процесуирање саобраћајних прекршаја, као и успостављање контролног центра за праћење и управљање саобраћајем.</w:t>
            </w:r>
          </w:p>
          <w:p w14:paraId="1BF61044">
            <w:pPr>
              <w:spacing w:after="0" w:line="240" w:lineRule="auto"/>
              <w:rPr>
                <w:rFonts w:ascii="Times New Roman" w:hAnsi="Times New Roman" w:cs="Times New Roman"/>
                <w:sz w:val="22"/>
                <w:szCs w:val="22"/>
                <w:lang w:val="sr-Cyrl-RS"/>
              </w:rPr>
            </w:pPr>
          </w:p>
          <w:p w14:paraId="49DAB48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Овим системом се ствара основа за постепени развој интегрисаног система управљања саобраћајем (Smart Traffic Management System), који омогућава доношење одлука на основу података и повећање безбедности свих учесника у саобраћају.</w:t>
            </w:r>
          </w:p>
        </w:tc>
      </w:tr>
      <w:tr w14:paraId="6DF4E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45440C7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2.2.1:</w:t>
            </w:r>
          </w:p>
          <w:p w14:paraId="5E9E4183">
            <w:pPr>
              <w:pStyle w:val="39"/>
              <w:numPr>
                <w:ilvl w:val="0"/>
                <w:numId w:val="5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Утврђивање локација на којима је идентификован проблем неприлагођене брзине</w:t>
            </w:r>
          </w:p>
          <w:p w14:paraId="78441F18">
            <w:pPr>
              <w:pStyle w:val="39"/>
              <w:numPr>
                <w:ilvl w:val="0"/>
                <w:numId w:val="5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Прибављање услова за постављање опреме</w:t>
            </w:r>
          </w:p>
          <w:p w14:paraId="6869DA1F">
            <w:pPr>
              <w:pStyle w:val="39"/>
              <w:numPr>
                <w:ilvl w:val="0"/>
                <w:numId w:val="5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пројектне документације</w:t>
            </w:r>
          </w:p>
          <w:p w14:paraId="3FE1C196">
            <w:pPr>
              <w:numPr>
                <w:ilvl w:val="0"/>
                <w:numId w:val="5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Набавка опреме и успостављање контролног центра</w:t>
            </w:r>
          </w:p>
          <w:p w14:paraId="52CC67AA">
            <w:pPr>
              <w:numPr>
                <w:ilvl w:val="0"/>
                <w:numId w:val="5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Повезивање система са постојећом инфраструктуром и информационим системима.</w:t>
            </w:r>
          </w:p>
          <w:p w14:paraId="06B1CC3D">
            <w:pPr>
              <w:numPr>
                <w:ilvl w:val="0"/>
                <w:numId w:val="5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Обука запослених за управљање и одржавање система.</w:t>
            </w:r>
          </w:p>
        </w:tc>
      </w:tr>
      <w:tr w14:paraId="70E98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850701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100.000 ЕУР (период 2026–2030)</w:t>
            </w:r>
          </w:p>
        </w:tc>
      </w:tr>
      <w:tr w14:paraId="63D9B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91C75A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унутрашњих послова и Агенција за безбедност саобраћаја (јавни конкурс за доделу средстава за унапређење безбедности саобраћаја); Донаторски програми; Јавно-приватна партнерства</w:t>
            </w:r>
          </w:p>
        </w:tc>
      </w:tr>
      <w:tr w14:paraId="4E28A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39AA13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Савет за безбедност саобраћаја града Пирота</w:t>
            </w:r>
          </w:p>
        </w:tc>
      </w:tr>
      <w:tr w14:paraId="37000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7DFFD2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МУП - Полицијска управа Пирот, Агенција за безбедност саобраћаја, привредни субјекти</w:t>
            </w:r>
          </w:p>
        </w:tc>
      </w:tr>
      <w:tr w14:paraId="1CD4E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7AB2C7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учесници у саобраћају, Полицијска управа, Орган локалне самоуправе за послове саобраћаја</w:t>
            </w:r>
          </w:p>
        </w:tc>
      </w:tr>
      <w:tr w14:paraId="1106D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DAE412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–2030.</w:t>
            </w:r>
          </w:p>
        </w:tc>
      </w:tr>
      <w:tr w14:paraId="268FE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F2DDE4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2DB4B1E4">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инсталираних знакова са измењивим садржајем и приказом брзине</w:t>
            </w:r>
          </w:p>
          <w:p w14:paraId="081953D8">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инсталираних камера за идентификацију саобраћајноох прекршаја</w:t>
            </w:r>
          </w:p>
          <w:p w14:paraId="4EB23B0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Индикатори понашања учесника у саобраћају у вези са прекораченјем брзине</w:t>
            </w:r>
          </w:p>
        </w:tc>
      </w:tr>
    </w:tbl>
    <w:p w14:paraId="7A0F81D1">
      <w:pPr>
        <w:spacing w:line="259" w:lineRule="auto"/>
        <w:rPr>
          <w:sz w:val="22"/>
          <w:szCs w:val="22"/>
          <w:lang w:val="sr-Cyrl-RS"/>
        </w:rPr>
      </w:pPr>
    </w:p>
    <w:p w14:paraId="3FF42E01">
      <w:pPr>
        <w:spacing w:line="259" w:lineRule="auto"/>
        <w:rPr>
          <w:sz w:val="22"/>
          <w:szCs w:val="22"/>
          <w:lang w:val="sr-Cyrl-RS"/>
        </w:rPr>
      </w:pPr>
      <w:r>
        <w:rPr>
          <w:sz w:val="22"/>
          <w:szCs w:val="22"/>
          <w:lang w:val="sr-Cyrl-RS"/>
        </w:rPr>
        <w:br w:type="page"/>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3ED87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BD7B66D">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0D7E3C35">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2.2 Развој паметне саобраћајне инфраструктуре и сигнализације</w:t>
            </w:r>
          </w:p>
        </w:tc>
      </w:tr>
      <w:tr w14:paraId="67181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077E6F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62E4302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2.2.2 Успостављање функционалног система Google Transit</w:t>
            </w:r>
          </w:p>
        </w:tc>
      </w:tr>
      <w:tr w14:paraId="14498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267C93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доступности информација о јавном превозу и повећање ефикасности коришћења услуга превоза кроз успостављање функционалног система за приказ реда вожње, рута и стајалишта јавног превоза у дигиталном окружењу.</w:t>
            </w:r>
          </w:p>
          <w:p w14:paraId="029EF4A9">
            <w:pPr>
              <w:spacing w:after="0" w:line="240" w:lineRule="auto"/>
              <w:rPr>
                <w:rFonts w:ascii="Times New Roman" w:hAnsi="Times New Roman" w:cs="Times New Roman"/>
                <w:sz w:val="22"/>
                <w:szCs w:val="22"/>
                <w:lang w:val="sr-Cyrl-RS"/>
              </w:rPr>
            </w:pPr>
          </w:p>
          <w:p w14:paraId="271CBB4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проучавање искустава других градова и применљивост на обим и структуру јавног превоза у Пироту. А затим и припрему и објављивање података о јавном превозу у стандарду GTFS (General Transit Feed Specification), њихову интеграцију у дигиталне платформе за навигацију и редовно ажурирање података. На овај начин се омогућава грађанима и посетиоцима да у реалном времену планирају путовања, добију информације о времену поласка и оптималним рутама, чиме се повећава доступност јавног превоза и подстиче његово коришћење.</w:t>
            </w:r>
          </w:p>
        </w:tc>
      </w:tr>
      <w:tr w14:paraId="1120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631B060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2.2.2:</w:t>
            </w:r>
          </w:p>
          <w:p w14:paraId="1EC2DEA9">
            <w:pPr>
              <w:pStyle w:val="39"/>
              <w:numPr>
                <w:ilvl w:val="0"/>
                <w:numId w:val="5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система јавног превоза и доступности података о линијама, стајалиштима и реду вожње. Анализа искустава других градова (нпр. Крагујевца)</w:t>
            </w:r>
          </w:p>
          <w:p w14:paraId="34E4C200">
            <w:pPr>
              <w:pStyle w:val="39"/>
              <w:numPr>
                <w:ilvl w:val="0"/>
                <w:numId w:val="5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Прикупљање и структурирање података о јавном превозу у складу са GTFS стандардом.</w:t>
            </w:r>
          </w:p>
          <w:p w14:paraId="46F35437">
            <w:pPr>
              <w:pStyle w:val="39"/>
              <w:numPr>
                <w:ilvl w:val="0"/>
                <w:numId w:val="5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базе података о линијама јавног превоза, стајалиштима и реду вожње.</w:t>
            </w:r>
          </w:p>
          <w:p w14:paraId="7FF29021">
            <w:pPr>
              <w:pStyle w:val="39"/>
              <w:numPr>
                <w:ilvl w:val="0"/>
                <w:numId w:val="5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сарадње са превозницима ради обезбеђивања тачних и ажурних података.</w:t>
            </w:r>
          </w:p>
          <w:p w14:paraId="17902D23">
            <w:pPr>
              <w:numPr>
                <w:ilvl w:val="0"/>
                <w:numId w:val="57"/>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Објављивање података о јавном превозу на дигиталним платформама и интеграција са системом Google Transit.</w:t>
            </w:r>
          </w:p>
        </w:tc>
      </w:tr>
      <w:tr w14:paraId="17E09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34136D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 ЕУР (период 2026–2030)</w:t>
            </w:r>
          </w:p>
        </w:tc>
      </w:tr>
      <w:tr w14:paraId="21D57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E68496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грађевинарства, саобраћаја и инфраструктуре, национални програми дигитализације, донаторски програми, EU фондови.</w:t>
            </w:r>
          </w:p>
        </w:tc>
      </w:tr>
      <w:tr w14:paraId="50A76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52BE97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урбанизам, саобраћај и инфраструктуру), Савет за безбедност саобраћаја града Пирота</w:t>
            </w:r>
          </w:p>
        </w:tc>
      </w:tr>
      <w:tr w14:paraId="112D1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1CDD9E6">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Превозници јавног превоза, ИТ компаније, управљач пута, туристичка организација, градови који су већ применили ово решење</w:t>
            </w:r>
          </w:p>
        </w:tc>
      </w:tr>
      <w:tr w14:paraId="035F2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A15DA2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Грађани, путници јавног превоза, запослени у Слободној зони, ученици, студенти, туристи, особе са инвалидитетом, посетиоци града.</w:t>
            </w:r>
          </w:p>
        </w:tc>
      </w:tr>
      <w:tr w14:paraId="04287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4733E4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–2030.</w:t>
            </w:r>
          </w:p>
        </w:tc>
      </w:tr>
      <w:tr w14:paraId="31CF2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08095C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7FFF9B8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 систем Google Transit</w:t>
            </w:r>
          </w:p>
          <w:p w14:paraId="0BFF9EBC">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линија јавног превоза обухваћених системом</w:t>
            </w:r>
          </w:p>
          <w:p w14:paraId="6879476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стајалишта обухваћених системом</w:t>
            </w:r>
          </w:p>
          <w:p w14:paraId="0FB5CBC2">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који користе дигиталне информације о јавном превозу</w:t>
            </w:r>
          </w:p>
          <w:p w14:paraId="4C569CEE">
            <w:pPr>
              <w:spacing w:after="0" w:line="240" w:lineRule="auto"/>
              <w:ind w:left="1080"/>
              <w:rPr>
                <w:rFonts w:ascii="Times New Roman" w:hAnsi="Times New Roman" w:cs="Times New Roman"/>
                <w:sz w:val="22"/>
                <w:szCs w:val="22"/>
                <w:lang w:val="sr-Cyrl-RS"/>
              </w:rPr>
            </w:pPr>
          </w:p>
        </w:tc>
      </w:tr>
    </w:tbl>
    <w:p w14:paraId="73FB7176">
      <w:pPr>
        <w:spacing w:after="0" w:line="240" w:lineRule="auto"/>
        <w:rPr>
          <w:sz w:val="22"/>
          <w:szCs w:val="22"/>
          <w:lang w:val="sr-Cyrl-RS"/>
        </w:rPr>
      </w:pPr>
    </w:p>
    <w:p w14:paraId="103CB541">
      <w:pPr>
        <w:spacing w:line="259" w:lineRule="auto"/>
        <w:rPr>
          <w:sz w:val="22"/>
          <w:szCs w:val="22"/>
          <w:lang w:val="sr-Cyrl-RS"/>
        </w:rPr>
      </w:pPr>
      <w:r>
        <w:rPr>
          <w:sz w:val="22"/>
          <w:szCs w:val="22"/>
          <w:lang w:val="sr-Cyrl-RS"/>
        </w:rPr>
        <w:br w:type="page"/>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49007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4023BFC">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64C3DCF4">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2.3 Кретање и паркирање у урбаном простору</w:t>
            </w:r>
          </w:p>
        </w:tc>
      </w:tr>
      <w:tr w14:paraId="6789B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1A888D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2995812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2.3.1 Успостављање и унапређење интегрисаног система за управљање паркинг простором</w:t>
            </w:r>
          </w:p>
        </w:tc>
      </w:tr>
      <w:tr w14:paraId="7A9F4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962B0E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управљања паркинг простором кроз успостављање интегрисаног система за праћење, контролу и оптимизацију коришћења паркинг места применом паметних технологија и дигиталних алата.</w:t>
            </w:r>
          </w:p>
          <w:p w14:paraId="4A288C24">
            <w:pPr>
              <w:spacing w:after="0" w:line="240" w:lineRule="auto"/>
              <w:rPr>
                <w:rFonts w:ascii="Times New Roman" w:hAnsi="Times New Roman" w:cs="Times New Roman"/>
                <w:sz w:val="22"/>
                <w:szCs w:val="22"/>
                <w:lang w:val="sr-Cyrl-RS"/>
              </w:rPr>
            </w:pPr>
          </w:p>
          <w:p w14:paraId="10952A3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 оквиру постојећег пројекта „Ка паметним, зеленим и одрживим градовима“, који се реализује уз подршку GIZ, већ је започето увођење решења за унапређење паркинг система, укључујући дисплеј сигнализацију и праћење стања паркинг места. Ова мера омогућава да се постојећи систем даље развија и постепено интегрише у јединствену платформу за управљање паркирањем.</w:t>
            </w:r>
          </w:p>
          <w:p w14:paraId="4580E0A9">
            <w:pPr>
              <w:spacing w:after="0" w:line="240" w:lineRule="auto"/>
              <w:rPr>
                <w:rFonts w:ascii="Times New Roman" w:hAnsi="Times New Roman" w:cs="Times New Roman"/>
                <w:sz w:val="22"/>
                <w:szCs w:val="22"/>
                <w:lang w:val="sr-Cyrl-RS"/>
              </w:rPr>
            </w:pPr>
          </w:p>
          <w:p w14:paraId="7C37901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примену паметних решења за праћење заузетости паркинг места, управљање наплатом паркирања, информисање корисника о доступности паркинг простора и анализу података о коришћењу система. На овај начин се повећава ефикасност управљања паркингом, смањује време тражења слободног места и побољшава квалитет услуге за грађане и посетиоце.</w:t>
            </w:r>
          </w:p>
        </w:tc>
      </w:tr>
      <w:tr w14:paraId="17226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4AEF74D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2.3.1:</w:t>
            </w:r>
          </w:p>
          <w:p w14:paraId="5F61C58D">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обједињеног система за управљање паркинг простором, контролу и праћење паркинг система.</w:t>
            </w:r>
          </w:p>
          <w:p w14:paraId="44E49893">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паркинг система кроз увођење паметних решења за управљање паркирањем, укључујући дисплеј сигнализацију, сензоре и софтверске алате за праћење стања паркинг места.</w:t>
            </w:r>
          </w:p>
          <w:p w14:paraId="10BE1DE4">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Постепена интеграција свих система за паркирање у јединствену платформу за управљање паркинг простором.</w:t>
            </w:r>
          </w:p>
          <w:p w14:paraId="688D692D">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заузетости паркинг места и оптимизација управљања паркинг простором на основу података.</w:t>
            </w:r>
          </w:p>
          <w:p w14:paraId="1408C9C7">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дигиталних канала за информисање корисника о доступности паркинг места и условима коришћења паркинг система.</w:t>
            </w:r>
          </w:p>
          <w:p w14:paraId="30319662">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Извештавање и анализа података о коришћењу паркинг система у циљу доношења одлука и унапређења услуге.</w:t>
            </w:r>
          </w:p>
          <w:p w14:paraId="79630531">
            <w:pPr>
              <w:pStyle w:val="39"/>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Обука запослених за управљање и одржавање система.</w:t>
            </w:r>
          </w:p>
          <w:p w14:paraId="66CB0F9A">
            <w:pPr>
              <w:numPr>
                <w:ilvl w:val="0"/>
                <w:numId w:val="5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Проширење система на нове зоне паркирања у складу са потребама града.</w:t>
            </w:r>
          </w:p>
        </w:tc>
      </w:tr>
      <w:tr w14:paraId="09F29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E1E42B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_____ ЕУР (период 2026–2030)</w:t>
            </w:r>
          </w:p>
        </w:tc>
      </w:tr>
      <w:tr w14:paraId="79D10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B52FD6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GIZ DeveloPPP програм и буџет Града Пирота</w:t>
            </w:r>
          </w:p>
        </w:tc>
      </w:tr>
      <w:tr w14:paraId="3DFFD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40564F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ЈП Комуналац Пирот и Град Пирот (Одељење за урбанизам, саобраћај и инфраструктуру)</w:t>
            </w:r>
          </w:p>
        </w:tc>
      </w:tr>
      <w:tr w14:paraId="1CF20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BC2D85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Град Пирот, јавна комунална предузећа, ИТ компаније, добављачи опреме, организације за техничку подршку, донаторске организације, надлежне институције у области саобраћаја</w:t>
            </w:r>
          </w:p>
        </w:tc>
      </w:tr>
      <w:tr w14:paraId="38DF0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B14D29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Возачи, грађани, привредни субјекти, посетиоци града, јавне службе, локална самоуправа.</w:t>
            </w:r>
          </w:p>
        </w:tc>
      </w:tr>
      <w:tr w14:paraId="4801E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E9CFF7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–2027.</w:t>
            </w:r>
          </w:p>
        </w:tc>
      </w:tr>
      <w:tr w14:paraId="2B204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B0618C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03F05B7D">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 интегрисан систем за управљање паркинг простором</w:t>
            </w:r>
          </w:p>
          <w:p w14:paraId="36F286C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паркинг зона / паркинг места обухваћених системом</w:t>
            </w:r>
          </w:p>
          <w:p w14:paraId="112A4FC0">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време тражења слободног паркинг места</w:t>
            </w:r>
          </w:p>
          <w:p w14:paraId="1F423418">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повећање прихода од наплате паркирања</w:t>
            </w:r>
          </w:p>
          <w:p w14:paraId="49D5512A">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који користе информације о доступности паркинг места</w:t>
            </w:r>
          </w:p>
          <w:p w14:paraId="179786EF">
            <w:pPr>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ниво задовољства корисника услугом</w:t>
            </w:r>
          </w:p>
        </w:tc>
      </w:tr>
    </w:tbl>
    <w:p w14:paraId="115E15CC">
      <w:pPr>
        <w:spacing w:after="0" w:line="240" w:lineRule="auto"/>
        <w:rPr>
          <w:sz w:val="22"/>
          <w:szCs w:val="22"/>
          <w:lang w:val="sr-Cyrl-RS"/>
        </w:rPr>
      </w:pPr>
    </w:p>
    <w:p w14:paraId="6176EFE0">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0671A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ADD4A21">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2.4: Смањење саобраћајних застоја, загађења и негативног утицаја саобраћаја на животну средину</w:t>
            </w:r>
          </w:p>
        </w:tc>
      </w:tr>
      <w:tr w14:paraId="4B41F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03DC5A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6CD53AE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2.4.1 Разматрање могућности подршке такси-превозницима за набавку електричних возила</w:t>
            </w:r>
          </w:p>
        </w:tc>
      </w:tr>
      <w:tr w14:paraId="1EC8D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DC4803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смањење емисије штетних гасова и негативног утицаја саобраћаја на животну средину кроз постепено увођење возила са ниском или нултом емисијом у систем јавног превоза путника, уз посебан фокус на такси-превоз.</w:t>
            </w:r>
          </w:p>
          <w:p w14:paraId="3676E3EB">
            <w:pPr>
              <w:spacing w:after="0" w:line="240" w:lineRule="auto"/>
              <w:rPr>
                <w:rFonts w:ascii="Times New Roman" w:hAnsi="Times New Roman" w:cs="Times New Roman"/>
                <w:sz w:val="22"/>
                <w:szCs w:val="22"/>
                <w:lang w:val="sr-Cyrl-RS"/>
              </w:rPr>
            </w:pPr>
          </w:p>
          <w:p w14:paraId="0A127B7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Имајући у виду да на територији града већ постоји значајан број хибридних возила у такси-служби (приближно 40 возила), потребно је додатно размотрити могућности даљег унапређења система кроз подршку преласку на електрична возила.</w:t>
            </w:r>
          </w:p>
          <w:p w14:paraId="0217A747">
            <w:pPr>
              <w:spacing w:after="0" w:line="240" w:lineRule="auto"/>
              <w:rPr>
                <w:rFonts w:ascii="Times New Roman" w:hAnsi="Times New Roman" w:cs="Times New Roman"/>
                <w:sz w:val="22"/>
                <w:szCs w:val="22"/>
                <w:lang w:val="sr-Cyrl-RS"/>
              </w:rPr>
            </w:pPr>
          </w:p>
          <w:p w14:paraId="60790BD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анализу постојећих националних програма субвенција, правног оквира и финансијских механизама, као и процену економске оправданости и интересовања превозника за увођење електричних возила. На основу резултата анализе, град може размотрити увођење подстицајних мера, као што су суфинансирање набавке возила, олакшице у коришћењу инфраструктуре или друге облике подршке.</w:t>
            </w:r>
          </w:p>
        </w:tc>
      </w:tr>
      <w:tr w14:paraId="5D57D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9344F0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2.4.1:</w:t>
            </w:r>
          </w:p>
          <w:p w14:paraId="06C9C134">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такси-превоза и структуре возног парка на територији града.</w:t>
            </w:r>
          </w:p>
          <w:p w14:paraId="050597B3">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Проучавање националних програма субвенција и правног оквира у области електромобилности и подршке набавци електричних возила.</w:t>
            </w:r>
          </w:p>
          <w:p w14:paraId="42995D28">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Процена економске оправданости и финансијских ефеката увођења електричних возила у такси-превоз.</w:t>
            </w:r>
          </w:p>
          <w:p w14:paraId="1097AB0A">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Испитивање интересовања такси-превозника за набавку електричних возила.</w:t>
            </w:r>
          </w:p>
          <w:p w14:paraId="25895A81">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потреба за развојем инфраструктуре за пуњење електричних возила.</w:t>
            </w:r>
          </w:p>
          <w:p w14:paraId="2161BF5D">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Разматрање могућности увођења локалних подстицајних мера за набавку електричних возила.</w:t>
            </w:r>
          </w:p>
          <w:p w14:paraId="3DF7049D">
            <w:pPr>
              <w:pStyle w:val="39"/>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препорука за даљи развој система електромобилности у такси-превозу.</w:t>
            </w:r>
          </w:p>
          <w:p w14:paraId="4878CCDB">
            <w:pPr>
              <w:numPr>
                <w:ilvl w:val="0"/>
                <w:numId w:val="5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развоја технологија и политика у области електромобилности.</w:t>
            </w:r>
          </w:p>
        </w:tc>
      </w:tr>
      <w:tr w14:paraId="3A92D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D8ECE7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5.000 ЕУР (период 2026–2030)</w:t>
            </w:r>
          </w:p>
        </w:tc>
      </w:tr>
      <w:tr w14:paraId="7F0F9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F66351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национални програми подршке електромобилности, Министарство заштите животне средине, донаторски програми, EU фондови.</w:t>
            </w:r>
          </w:p>
        </w:tc>
      </w:tr>
      <w:tr w14:paraId="05FD7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349819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урбанизам, саобраћај и заштиту животне средине)</w:t>
            </w:r>
          </w:p>
        </w:tc>
      </w:tr>
      <w:tr w14:paraId="5CD1A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8B758A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Такси-превозници, удружења превозника, надлежна министарства, добављачи возила и опреме, енергетске компаније, организације за заштиту животне средине.</w:t>
            </w:r>
          </w:p>
        </w:tc>
      </w:tr>
      <w:tr w14:paraId="63D62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165A77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Возачи, грађани, привредни субјекти, посетиоци града, јавне службе, локална самоуправа.</w:t>
            </w:r>
          </w:p>
        </w:tc>
      </w:tr>
      <w:tr w14:paraId="64D5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A038A1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правног оквира, 2027 – процена изводљивости и израда препорука, 2028–2030 – евентуално увођење подстицајних мера у складу са резултатима анализа.</w:t>
            </w:r>
          </w:p>
        </w:tc>
      </w:tr>
      <w:tr w14:paraId="32049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9AC747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17FC3E7D">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израђена анализа могућности подршке набавци електричних возила</w:t>
            </w:r>
          </w:p>
          <w:p w14:paraId="42F60BAA">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одржаних консултација са такси-превозницима</w:t>
            </w:r>
          </w:p>
          <w:p w14:paraId="742A52D2">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припремљених препорука за унапређење система</w:t>
            </w:r>
          </w:p>
          <w:p w14:paraId="16B828DE">
            <w:pPr>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возила са ниском или нултом емисијом у такси-превозу</w:t>
            </w:r>
          </w:p>
        </w:tc>
      </w:tr>
    </w:tbl>
    <w:p w14:paraId="758B3110">
      <w:pPr>
        <w:spacing w:after="0" w:line="240" w:lineRule="auto"/>
        <w:rPr>
          <w:sz w:val="22"/>
          <w:szCs w:val="22"/>
          <w:lang w:val="sr-Cyrl-RS"/>
        </w:rPr>
      </w:pPr>
    </w:p>
    <w:p w14:paraId="77E63C9A">
      <w:pPr>
        <w:spacing w:after="0" w:line="240" w:lineRule="auto"/>
        <w:rPr>
          <w:sz w:val="22"/>
          <w:szCs w:val="22"/>
          <w:lang w:val="sr-Cyrl-RS"/>
        </w:rPr>
      </w:pPr>
    </w:p>
    <w:p w14:paraId="56AFE1A5">
      <w:pPr>
        <w:spacing w:after="0" w:line="240" w:lineRule="auto"/>
        <w:rPr>
          <w:sz w:val="22"/>
          <w:szCs w:val="22"/>
          <w:lang w:val="sr-Cyrl-RS"/>
        </w:rPr>
      </w:pPr>
    </w:p>
    <w:p w14:paraId="347060F7">
      <w:pPr>
        <w:spacing w:line="259" w:lineRule="auto"/>
        <w:rPr>
          <w:sz w:val="22"/>
          <w:szCs w:val="22"/>
          <w:lang w:val="sr-Cyrl-RS"/>
        </w:rPr>
      </w:pPr>
      <w:r>
        <w:rPr>
          <w:sz w:val="22"/>
          <w:szCs w:val="22"/>
          <w:lang w:val="sr-Cyrl-RS"/>
        </w:rPr>
        <w:br w:type="page"/>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2648F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644BE65">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2.4: Смањење саобраћајних застоја, загађења и негативног утицаја саобраћаја на животну средину</w:t>
            </w:r>
          </w:p>
        </w:tc>
      </w:tr>
      <w:tr w14:paraId="2AE21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8B6BB4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753C71A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2.4.2 Увођење и коришћење додатних електро-пуњача за електрична возила</w:t>
            </w:r>
          </w:p>
        </w:tc>
      </w:tr>
      <w:tr w14:paraId="2B77F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DD78D4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инфраструктуре за пуњење електричних возила и подршку постепеном развоју електромобилности на територији града, кроз повећање броја доступних електро-пуњача и њихову равномернију просторну расподелу.</w:t>
            </w:r>
          </w:p>
          <w:p w14:paraId="11542CF2">
            <w:pPr>
              <w:spacing w:after="0" w:line="240" w:lineRule="auto"/>
              <w:rPr>
                <w:rFonts w:ascii="Times New Roman" w:hAnsi="Times New Roman" w:cs="Times New Roman"/>
                <w:sz w:val="22"/>
                <w:szCs w:val="22"/>
                <w:lang w:val="sr-Cyrl-RS"/>
              </w:rPr>
            </w:pPr>
          </w:p>
          <w:p w14:paraId="654D0A5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Тренутно постојећи електро-пуњачи најчешће се користе од стране такси-превозника, што указује на потребу за проширењем инфраструктуре како би се омогућило шире коришћење електричних возила и од стране грађана и привредних субјеката.</w:t>
            </w:r>
          </w:p>
          <w:p w14:paraId="5791AD6D">
            <w:pPr>
              <w:spacing w:after="0" w:line="240" w:lineRule="auto"/>
              <w:rPr>
                <w:rFonts w:ascii="Times New Roman" w:hAnsi="Times New Roman" w:cs="Times New Roman"/>
                <w:sz w:val="22"/>
                <w:szCs w:val="22"/>
                <w:lang w:val="sr-Cyrl-RS"/>
              </w:rPr>
            </w:pPr>
          </w:p>
          <w:p w14:paraId="0AB70CF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идентификацију приоритетних локација за постављање нових пуњача, сарадњу са јавним и приватним партнерима у циљу обезбеђивања техничких и финансијских услова, као и постепено увођење нових станица за пуњење у складу са растом броја електричних возила.</w:t>
            </w:r>
          </w:p>
        </w:tc>
      </w:tr>
      <w:tr w14:paraId="611CD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34D5AE4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2.4.2:</w:t>
            </w:r>
          </w:p>
          <w:p w14:paraId="048AB1F5">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инфраструктуре за пуњење електричних возила на територији града.</w:t>
            </w:r>
          </w:p>
          <w:p w14:paraId="57D9BC46">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Идентификација приоритетних локација за постављање нових електро-пуњача, као што су центар града, јавне гараже, туристичке зоне и јавне институције.</w:t>
            </w:r>
          </w:p>
          <w:p w14:paraId="5718B314">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Процена потреба за проширењем инфраструктуре у складу са очекиваним растом броја електричних возила.</w:t>
            </w:r>
          </w:p>
          <w:p w14:paraId="699AE473">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Прибављање техничких услова и сагласности за постављање пуњача.</w:t>
            </w:r>
          </w:p>
          <w:p w14:paraId="763AF5FA">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Набавка и постављање додатних електро-пуњача на одабраним локацијама.</w:t>
            </w:r>
          </w:p>
          <w:p w14:paraId="4EFB6EBB">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система управљања и праћења коришћења електро-пуњача.</w:t>
            </w:r>
          </w:p>
          <w:p w14:paraId="1ED3DFF7">
            <w:pPr>
              <w:pStyle w:val="39"/>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Информисање грађана о доступним локацијама за пуњење електричних возила.</w:t>
            </w:r>
          </w:p>
          <w:p w14:paraId="4143CD03">
            <w:pPr>
              <w:numPr>
                <w:ilvl w:val="0"/>
                <w:numId w:val="6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коришћења инфраструктуре и планирање даљег проширења мреже пуњача.</w:t>
            </w:r>
          </w:p>
        </w:tc>
      </w:tr>
      <w:tr w14:paraId="015DD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A0FB40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50.000 – 150.000 ЕУР</w:t>
            </w:r>
          </w:p>
          <w:p w14:paraId="377AE98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(период 2026–2030, у зависности од броја пуњача и техничких карактеристика опреме)</w:t>
            </w:r>
          </w:p>
        </w:tc>
      </w:tr>
      <w:tr w14:paraId="399C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717DD9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заштите животне средине, Министарство енергетике, национални програми електромобилности, донаторски програми, EU фондови, приватни инвеститори, енергетске компаније.</w:t>
            </w:r>
          </w:p>
        </w:tc>
      </w:tr>
      <w:tr w14:paraId="2AFB2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AD365F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урбанизам, саобраћај и заштиту животне средине)</w:t>
            </w:r>
          </w:p>
        </w:tc>
      </w:tr>
      <w:tr w14:paraId="3E608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F82220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Јавна комунална предузећа, енергетске компаније, приватни инвеститори, добављачи опреме, институције надлежне за енергетику и заштиту животне средине.</w:t>
            </w:r>
          </w:p>
        </w:tc>
      </w:tr>
      <w:tr w14:paraId="1EFAE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8A221E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Такси-превозници, грађани, привредни субјекти, туристи, јавне институције, локална самоуправа.</w:t>
            </w:r>
          </w:p>
        </w:tc>
      </w:tr>
      <w:tr w14:paraId="34ECF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9C1A53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правног оквира, 2027 – процена изводљивости и израда препорука, 2028–2030 – евентуално увођење подстицајних мера у складу са резултатима анализа.</w:t>
            </w:r>
          </w:p>
        </w:tc>
      </w:tr>
      <w:tr w14:paraId="0A253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1D2F69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154A49F6">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инсталираних електро-пуњача</w:t>
            </w:r>
          </w:p>
          <w:p w14:paraId="5E040CB4">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локација са доступним пуњачима</w:t>
            </w:r>
          </w:p>
          <w:p w14:paraId="5C6837E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инфраструктуре за пуњење</w:t>
            </w:r>
          </w:p>
          <w:p w14:paraId="25362D1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степен искоришћености пуњача</w:t>
            </w:r>
          </w:p>
          <w:p w14:paraId="2A6D2C84">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повећање броја електричних возила</w:t>
            </w:r>
          </w:p>
          <w:p w14:paraId="39519746">
            <w:pPr>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емисије штетних гасова из саобраћаја</w:t>
            </w:r>
          </w:p>
        </w:tc>
      </w:tr>
    </w:tbl>
    <w:p w14:paraId="4FEF53C6">
      <w:pPr>
        <w:spacing w:after="0" w:line="240" w:lineRule="auto"/>
        <w:rPr>
          <w:sz w:val="22"/>
          <w:szCs w:val="22"/>
          <w:lang w:val="sr-Cyrl-RS"/>
        </w:rPr>
      </w:pPr>
    </w:p>
    <w:p w14:paraId="2B6DA6ED">
      <w:pPr>
        <w:spacing w:after="0" w:line="240" w:lineRule="auto"/>
        <w:rPr>
          <w:sz w:val="22"/>
          <w:szCs w:val="22"/>
          <w:lang w:val="sr-Cyrl-RS"/>
        </w:rPr>
      </w:pPr>
    </w:p>
    <w:p w14:paraId="28A99D54">
      <w:pPr>
        <w:spacing w:after="0" w:line="240" w:lineRule="auto"/>
        <w:rPr>
          <w:sz w:val="22"/>
          <w:szCs w:val="22"/>
          <w:lang w:val="sr-Cyrl-RS"/>
        </w:rPr>
      </w:pPr>
    </w:p>
    <w:p w14:paraId="0E056115">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237FF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F6A13A1">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2.4: Смањење саобраћајних застоја, загађења и негативног утицаја саобраћаја на животну средину</w:t>
            </w:r>
          </w:p>
        </w:tc>
      </w:tr>
      <w:tr w14:paraId="413FD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08330C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43F24B4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2.4.3 Континуирани развој аутоматске контроле саобраћаја у сарадњи са Министарством унутрашњих послова</w:t>
            </w:r>
          </w:p>
        </w:tc>
      </w:tr>
      <w:tr w14:paraId="7D4FA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A45FBC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безбедности саобраћаја и смањење негативних утицаја саобраћаја на животну средину кроз континуирану сарадњу локалне самоуправе са надлежним институцијама у области контроле саобраћаја, анализу података и примену превентивних активности.</w:t>
            </w:r>
          </w:p>
          <w:p w14:paraId="79D7FF5D">
            <w:pPr>
              <w:spacing w:after="0" w:line="240" w:lineRule="auto"/>
              <w:rPr>
                <w:rFonts w:ascii="Times New Roman" w:hAnsi="Times New Roman" w:cs="Times New Roman"/>
                <w:sz w:val="22"/>
                <w:szCs w:val="22"/>
                <w:lang w:val="sr-Cyrl-RS"/>
              </w:rPr>
            </w:pPr>
          </w:p>
          <w:p w14:paraId="6E6C945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развој механизама координације између града и полиције у циљу праћења стања безбедности саобраћаја, идентификације критичних локација, планирања активности контроле и информисања јавности о безбедном учешћу у саобраћају.</w:t>
            </w:r>
          </w:p>
          <w:p w14:paraId="56838354">
            <w:pPr>
              <w:spacing w:after="0" w:line="240" w:lineRule="auto"/>
              <w:rPr>
                <w:rFonts w:ascii="Times New Roman" w:hAnsi="Times New Roman" w:cs="Times New Roman"/>
                <w:sz w:val="22"/>
                <w:szCs w:val="22"/>
                <w:lang w:val="sr-Cyrl-RS"/>
              </w:rPr>
            </w:pPr>
          </w:p>
          <w:p w14:paraId="0E52108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Посебан фокус мере је на јачању сарадње са полицијом и другим институцијама, коришћењу података за планирање мера безбедности, превенцији саобраћајних прекршаја, повећању свести грађана о безбедности саобраћаја и смањењу броја саобраћајних незгода. Мера представља континуирану активност која допуњује техничке системе контроле саобраћаја и омогућава њихово ефикасније коришћење..</w:t>
            </w:r>
          </w:p>
        </w:tc>
      </w:tr>
      <w:tr w14:paraId="0BB5C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751DF8F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2.4.3:</w:t>
            </w:r>
          </w:p>
          <w:p w14:paraId="19E5B131">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редовне сарадње и координације између града и полиције у области контроле саобраћаја.</w:t>
            </w:r>
          </w:p>
          <w:p w14:paraId="1BCB6FF5">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Размена података о саобраћајним незгодама, прекршајима и ризичним локацијама.</w:t>
            </w:r>
          </w:p>
          <w:p w14:paraId="6692C499">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Идентификација приоритетних локација за појачану контролу саобраћаја.</w:t>
            </w:r>
          </w:p>
          <w:p w14:paraId="278CFD12">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Планирање и спровођење заједничких активности контроле саобраћаја.</w:t>
            </w:r>
          </w:p>
          <w:p w14:paraId="66D56D0F">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превентивних кампања о безбедности у саобраћају.</w:t>
            </w:r>
          </w:p>
          <w:p w14:paraId="24C5CA44">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Информисање грађана о правилима безбедног учешћа у саобраћају.</w:t>
            </w:r>
          </w:p>
          <w:p w14:paraId="52ED692B">
            <w:pPr>
              <w:pStyle w:val="39"/>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ефеката спроведених активности и редовно извештавање о резултатима.</w:t>
            </w:r>
          </w:p>
          <w:p w14:paraId="78E887FC">
            <w:pPr>
              <w:numPr>
                <w:ilvl w:val="0"/>
                <w:numId w:val="61"/>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сарадње и прилагођавање активности у складу са резултатима анализа.</w:t>
            </w:r>
          </w:p>
        </w:tc>
      </w:tr>
      <w:tr w14:paraId="565FC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7C3D93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5.000 – 15.000 ЕУР</w:t>
            </w:r>
          </w:p>
          <w:p w14:paraId="0F6FFD9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(период 2026–2030, у зависности од обима кампања и активности)</w:t>
            </w:r>
          </w:p>
        </w:tc>
      </w:tr>
      <w:tr w14:paraId="42A79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2C4CAD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средства за безбедност саобраћаја, национални програми превенције саобраћајних незгода, донаторски програми.</w:t>
            </w:r>
          </w:p>
        </w:tc>
      </w:tr>
      <w:tr w14:paraId="5C14E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1EFEAF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Савет за безбедност саобраћаја</w:t>
            </w:r>
          </w:p>
        </w:tc>
      </w:tr>
      <w:tr w14:paraId="4BC49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98E1B9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Министарство унутрашњих послова – Полицијска управа Пирот, образовне институције, јавна предузећа, организације цивилног друштва, медији.</w:t>
            </w:r>
          </w:p>
        </w:tc>
      </w:tr>
      <w:tr w14:paraId="10EB4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034B40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Возачи, пешаци, ученици, млади, грађани, учесници у саобраћају, локална самоуправа.</w:t>
            </w:r>
          </w:p>
        </w:tc>
      </w:tr>
      <w:tr w14:paraId="1C0E0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DFE9E5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2026–2030 – континуирано спровођење активности контроле саобраћаја, превенције и информисања грађана.</w:t>
            </w:r>
          </w:p>
        </w:tc>
      </w:tr>
      <w:tr w14:paraId="473B5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0FC273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44796EBA">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одржаних координационих састанака са полицијом</w:t>
            </w:r>
          </w:p>
          <w:p w14:paraId="0199B82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спроведених превентивних активности  и информативних кампања</w:t>
            </w:r>
          </w:p>
          <w:p w14:paraId="013B71B0">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идентификованих критичних локација</w:t>
            </w:r>
          </w:p>
          <w:p w14:paraId="60853086">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броја саобраћајних незгода</w:t>
            </w:r>
          </w:p>
          <w:p w14:paraId="70A363DF">
            <w:pPr>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броја саобраћајних прекршаја</w:t>
            </w:r>
          </w:p>
        </w:tc>
      </w:tr>
    </w:tbl>
    <w:p w14:paraId="4A567F32">
      <w:pPr>
        <w:spacing w:after="0" w:line="240" w:lineRule="auto"/>
        <w:rPr>
          <w:sz w:val="22"/>
          <w:szCs w:val="22"/>
          <w:lang w:val="sr-Cyrl-RS"/>
        </w:rPr>
      </w:pPr>
    </w:p>
    <w:p w14:paraId="11A5D47D">
      <w:pPr>
        <w:tabs>
          <w:tab w:val="left" w:pos="1418"/>
        </w:tabs>
        <w:rPr>
          <w:sz w:val="22"/>
          <w:szCs w:val="22"/>
          <w:lang w:val="sr-Cyrl-RS"/>
        </w:rPr>
      </w:pPr>
      <w:r>
        <w:rPr>
          <w:sz w:val="22"/>
          <w:szCs w:val="22"/>
          <w:lang w:val="sr-Cyrl-RS"/>
        </w:rPr>
        <w:br w:type="page"/>
      </w:r>
    </w:p>
    <w:p w14:paraId="087DBB57">
      <w:pPr>
        <w:spacing w:after="0" w:line="240" w:lineRule="auto"/>
        <w:rPr>
          <w:b/>
          <w:sz w:val="22"/>
          <w:szCs w:val="22"/>
          <w:lang w:val="sr-Cyrl-RS"/>
        </w:rPr>
      </w:pPr>
      <w:r>
        <w:rPr>
          <w:b/>
          <w:sz w:val="22"/>
          <w:szCs w:val="22"/>
          <w:lang w:val="sr-Cyrl-RS"/>
        </w:rPr>
        <w:t>Приоритетна област 3: Паметна животна средина</w:t>
      </w:r>
    </w:p>
    <w:p w14:paraId="2C779004">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634E5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1DCA626">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08DEB83B">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3.1 Паметно и одрживо управљање ресурсима (вода, ваздух)</w:t>
            </w:r>
          </w:p>
        </w:tc>
      </w:tr>
      <w:tr w14:paraId="2B654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FEADC2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000DC5A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3.1.1 Унапређење система праћења квалитета воде, губитака воде и потрошње кроз увођење паметних решења и интегрисано управљање водоводним системом</w:t>
            </w:r>
          </w:p>
        </w:tc>
      </w:tr>
      <w:tr w14:paraId="2294F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73E4B0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 има за циљ унапређење ефикасности, поузданости и одрживости водоводног система кроз постепено увођење паметних решења за праћење квалитета воде, потрошње и губитака у систему, као и успостављање интегрисаног система за управљање водоводном инфраструктуром заснованог на подацима. Посебан фокус мере је на смањењу губитака воде у систему, повећању тачности података о потрошњи, унапређењу контроле квалитета воде, </w:t>
            </w:r>
          </w:p>
          <w:p w14:paraId="5BD02F6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побољшању планирања одржавања инфраструктуре и повећању ефикасности рада водоводног система.</w:t>
            </w:r>
          </w:p>
          <w:p w14:paraId="5CB6FAD9">
            <w:pPr>
              <w:spacing w:after="0" w:line="240" w:lineRule="auto"/>
              <w:rPr>
                <w:rFonts w:ascii="Times New Roman" w:hAnsi="Times New Roman" w:cs="Times New Roman"/>
                <w:sz w:val="22"/>
                <w:szCs w:val="22"/>
                <w:lang w:val="sr-Cyrl-RS"/>
              </w:rPr>
            </w:pPr>
          </w:p>
          <w:p w14:paraId="72C249C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обухвата постепено проширење система даљинског очитавања водомера, постављање мерних уређаја на кључним тачкама у систему, повезивање свих мерних станица у јединствен информациони систем и унапређење аналитике података.</w:t>
            </w:r>
          </w:p>
        </w:tc>
      </w:tr>
      <w:tr w14:paraId="012AE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48B4515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3.1.1:</w:t>
            </w:r>
          </w:p>
          <w:p w14:paraId="48A262C2">
            <w:pPr>
              <w:pStyle w:val="39"/>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водоводног система</w:t>
            </w:r>
          </w:p>
          <w:p w14:paraId="18B37DA0">
            <w:pPr>
              <w:pStyle w:val="39"/>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Проширење система даљинског очитавања водомера. </w:t>
            </w:r>
          </w:p>
          <w:p w14:paraId="38E7321A">
            <w:pPr>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мерних уређаја за праћење губитака воде у систему</w:t>
            </w:r>
          </w:p>
          <w:p w14:paraId="1879D428">
            <w:pPr>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Повезивање свих мерних уређаја у јединствен информациони систем</w:t>
            </w:r>
          </w:p>
          <w:p w14:paraId="14CCCBAA">
            <w:pPr>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система праћења квалитета воде</w:t>
            </w:r>
          </w:p>
          <w:p w14:paraId="0FADF707">
            <w:pPr>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аналитике података за управљање водоводним системом</w:t>
            </w:r>
          </w:p>
          <w:p w14:paraId="1FEA78D9">
            <w:pPr>
              <w:numPr>
                <w:ilvl w:val="0"/>
                <w:numId w:val="62"/>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Праћење ефеката и унапређење система </w:t>
            </w:r>
          </w:p>
        </w:tc>
      </w:tr>
      <w:tr w14:paraId="67577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582D5F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400.000 – 1.200.000 ЕУР (период 2026–2030)</w:t>
            </w:r>
          </w:p>
        </w:tc>
      </w:tr>
      <w:tr w14:paraId="2A01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129668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Извори финансирања: Буџет Града Пирота, ЈП, Министарство заштите животне средине, </w:t>
            </w:r>
          </w:p>
          <w:p w14:paraId="4C4FBC8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Министарство грађевинарства, EU фондови, донаторски програми, развојне банке</w:t>
            </w:r>
          </w:p>
        </w:tc>
      </w:tr>
      <w:tr w14:paraId="6BA60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B78281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ЈП Водовод и канализација Пирот</w:t>
            </w:r>
          </w:p>
        </w:tc>
      </w:tr>
      <w:tr w14:paraId="3A944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BD6310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Партнери у реализацији: Град Пирот, Одељење за локални економски развој, Министарства, </w:t>
            </w:r>
          </w:p>
          <w:p w14:paraId="4323417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технички консултанти, ИТ компаније, донатори</w:t>
            </w:r>
          </w:p>
        </w:tc>
      </w:tr>
      <w:tr w14:paraId="66AE1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655050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домаћинства, привредни субјекти, јавне установе, ЈКП, локална самоуправа</w:t>
            </w:r>
          </w:p>
        </w:tc>
      </w:tr>
      <w:tr w14:paraId="2C93B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FE76ED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план модернизације, 2027-2028 увођење паметних водомера и постављање мерних; 2029-2030 – интеграција система, оптимизација управљања и ширење система.</w:t>
            </w:r>
          </w:p>
        </w:tc>
      </w:tr>
      <w:tr w14:paraId="1888E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AC4420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1626675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водомера са даљинским очитавањем</w:t>
            </w:r>
          </w:p>
          <w:p w14:paraId="5A56D85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покривености система даљинским очитавањем</w:t>
            </w:r>
          </w:p>
          <w:p w14:paraId="50B708E7">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мерних станица у систему</w:t>
            </w:r>
          </w:p>
          <w:p w14:paraId="18DD6AB3">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 систем за праћење губитака</w:t>
            </w:r>
          </w:p>
          <w:p w14:paraId="0153144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губитака воде (%)</w:t>
            </w:r>
          </w:p>
          <w:p w14:paraId="6B3D5A3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интервенција на основу података</w:t>
            </w:r>
          </w:p>
          <w:p w14:paraId="2BBB67FF">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трошкова производње и дистрибуције воде</w:t>
            </w:r>
          </w:p>
          <w:p w14:paraId="4F91697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побољшање поузданости снабдевања</w:t>
            </w:r>
          </w:p>
        </w:tc>
      </w:tr>
    </w:tbl>
    <w:p w14:paraId="573A4BE7">
      <w:pPr>
        <w:spacing w:after="0" w:line="240" w:lineRule="auto"/>
        <w:rPr>
          <w:sz w:val="22"/>
          <w:szCs w:val="22"/>
          <w:lang w:val="sr-Cyrl-RS"/>
        </w:rPr>
      </w:pPr>
    </w:p>
    <w:p w14:paraId="727EC451">
      <w:pPr>
        <w:spacing w:line="259" w:lineRule="auto"/>
        <w:rPr>
          <w:sz w:val="22"/>
          <w:szCs w:val="22"/>
          <w:lang w:val="sr-Cyrl-RS"/>
        </w:rPr>
      </w:pPr>
      <w:r>
        <w:rPr>
          <w:sz w:val="22"/>
          <w:szCs w:val="22"/>
          <w:lang w:val="sr-Cyrl-RS"/>
        </w:rPr>
        <w:br w:type="page"/>
      </w:r>
    </w:p>
    <w:p w14:paraId="043E4ABF">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1C8E4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4C6237A">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204BF1F6">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3.1 Паметно и одрживо управљање ресурсима (вода, ваздух)</w:t>
            </w:r>
          </w:p>
        </w:tc>
      </w:tr>
      <w:tr w14:paraId="26368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8573CE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65C7348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3.1.2 Коришћење апликације за мерење квалитета ваздуха у циљу решавања проблема и доношења одлука о смањењу загађења</w:t>
            </w:r>
          </w:p>
        </w:tc>
      </w:tr>
      <w:tr w14:paraId="2DCC1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6249DF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 има за циљ унапређење праћења квалитета ваздуха и доношења одлука заснованих на подацима кроз увођење и коришћење дигиталних алата и апликација за прикупљање, анализу и визуелизацију података о загађењу ваздуха. </w:t>
            </w:r>
          </w:p>
          <w:p w14:paraId="15CE006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коришћење постојећих или развој нових мерача, апликација и информационих система који омогућавају праћење концентрације загађујућих материја, идентификацију извора загађења, информисање грађана и подршку надлежним службама у планирању мера за смањење загађења.</w:t>
            </w:r>
          </w:p>
          <w:p w14:paraId="1AF13A52">
            <w:pPr>
              <w:spacing w:after="0" w:line="240" w:lineRule="auto"/>
              <w:rPr>
                <w:rFonts w:ascii="Times New Roman" w:hAnsi="Times New Roman" w:cs="Times New Roman"/>
                <w:sz w:val="22"/>
                <w:szCs w:val="22"/>
                <w:lang w:val="sr-Cyrl-RS"/>
              </w:rPr>
            </w:pPr>
          </w:p>
          <w:p w14:paraId="33570E4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Посебан фокус мере је на унапређењу доступности података о квалитету ваздуха, бржем реаговању на повећано загађење, информисању грађана о стању ваздуха, подршци доносиоцима одлука у планирању мера и развоју система за управљање животном средином.</w:t>
            </w:r>
          </w:p>
        </w:tc>
      </w:tr>
      <w:tr w14:paraId="4E67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099D5CB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3.1.2:</w:t>
            </w:r>
          </w:p>
          <w:p w14:paraId="74F9954A">
            <w:pPr>
              <w:pStyle w:val="39"/>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и расположивих система за праћење квалитета ваздуха и доступних података.</w:t>
            </w:r>
          </w:p>
          <w:p w14:paraId="25E1316B">
            <w:pPr>
              <w:pStyle w:val="39"/>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Избор апликације за праћење квалитета ваздуха која омогућава прикупљање, обраду и приказ података у реалном времену.</w:t>
            </w:r>
          </w:p>
          <w:p w14:paraId="4B31A153">
            <w:pPr>
              <w:pStyle w:val="39"/>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Повезивање апликације са постојећим мерним станицама и другим релевантним изворима података.</w:t>
            </w:r>
          </w:p>
          <w:p w14:paraId="4A06C39F">
            <w:pPr>
              <w:pStyle w:val="39"/>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система за визуелизацију података о квалитету ваздуха, укључујући јавни приказ података на веб сајту или мобилној апликацији.</w:t>
            </w:r>
          </w:p>
          <w:p w14:paraId="008B75C5">
            <w:pPr>
              <w:pStyle w:val="39"/>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Дефинисање процедура за коришћење података у доношењу одлука и планирању мера за смањење загађења.</w:t>
            </w:r>
          </w:p>
          <w:p w14:paraId="0131B33A">
            <w:pPr>
              <w:pStyle w:val="39"/>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Информисање јавности о стању квалитета ваздуха и препорукама за понашање у условима повећаног загађења.</w:t>
            </w:r>
          </w:p>
          <w:p w14:paraId="6AB5756F">
            <w:pPr>
              <w:numPr>
                <w:ilvl w:val="0"/>
                <w:numId w:val="6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ефеката примене мере и унапређење система на основу прикупљених података и искуства у примени.</w:t>
            </w:r>
          </w:p>
        </w:tc>
      </w:tr>
      <w:tr w14:paraId="2B428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628188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50.000 – 150.000 ЕУР (период 2026–2030, у зависности од обима функционалности апликације и броја интегрисаних извора података)</w:t>
            </w:r>
          </w:p>
        </w:tc>
      </w:tr>
      <w:tr w14:paraId="22C0F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219CC5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заштите животне средине, Фонд за заштиту животне средине, национални и међународни пројекти у области заштите животне средине, донаторски програми, EU фондови.</w:t>
            </w:r>
          </w:p>
        </w:tc>
      </w:tr>
      <w:tr w14:paraId="1B997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F1AA0D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заштиту животне средине)</w:t>
            </w:r>
          </w:p>
        </w:tc>
      </w:tr>
      <w:tr w14:paraId="6F57A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6A02252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ЈКП, Републичка агенција за заштиту животне средине, здравствене установе, образовне институције, научно-истраживачке организације, ИТ компаније, организације цивилног друштва.</w:t>
            </w:r>
          </w:p>
        </w:tc>
      </w:tr>
      <w:tr w14:paraId="502E7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0CE2A0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Грађани, деца и осетљиве групе становништва, локална самоуправа, здравствене установе, образовне институције, привредни субјекти, инспекцијске службе.</w:t>
            </w:r>
          </w:p>
        </w:tc>
      </w:tr>
      <w:tr w14:paraId="5A447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2D82D0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постојећег стања и избор апликације, 2027 – успостављање система и интеграција података, 2028–2030 – редовно коришћење апликације, информисање јавности и унапређење система.</w:t>
            </w:r>
          </w:p>
        </w:tc>
      </w:tr>
      <w:tr w14:paraId="16FF8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EE8CC1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13E9C441">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успостављена апликација за праћење квалитета ваздуха</w:t>
            </w:r>
          </w:p>
          <w:p w14:paraId="0A1AB2CE">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извора података повезаних са системом</w:t>
            </w:r>
          </w:p>
          <w:p w14:paraId="3D4A3D5C">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апликације</w:t>
            </w:r>
          </w:p>
          <w:p w14:paraId="6420D8EC">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објављених извештаја о квалитету ваздуха</w:t>
            </w:r>
          </w:p>
          <w:p w14:paraId="5B2EC227">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донетих мера на основу података</w:t>
            </w:r>
          </w:p>
          <w:p w14:paraId="2BDB4C01">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повећан ниво информисаности грађана о квалитету ваздуха</w:t>
            </w:r>
          </w:p>
        </w:tc>
      </w:tr>
    </w:tbl>
    <w:p w14:paraId="635833C1">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1982C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9C66E38">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5C7F44E4">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3.2 Дигитализација и паметна решења у управљању отпадом, зеленим површинама и енергетска ефикасност</w:t>
            </w:r>
          </w:p>
        </w:tc>
      </w:tr>
      <w:tr w14:paraId="1DA86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8A2766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1BA4D5B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3.2.1 Увођење паметних решења у области управљања отпадом</w:t>
            </w:r>
          </w:p>
        </w:tc>
      </w:tr>
      <w:tr w14:paraId="7C55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17810A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ефикасности система управљања отпадом кроз постепено увођење паметних решења за праћење стања контејнера, оптимизацију рута сакупљања отпада, смањење оперативних трошкова и побољшање квалитета услуга за грађане.</w:t>
            </w:r>
          </w:p>
          <w:p w14:paraId="5623B347">
            <w:pPr>
              <w:spacing w:after="0" w:line="240" w:lineRule="auto"/>
              <w:rPr>
                <w:rFonts w:ascii="Times New Roman" w:hAnsi="Times New Roman" w:cs="Times New Roman"/>
                <w:sz w:val="22"/>
                <w:szCs w:val="22"/>
                <w:lang w:val="sr-Cyrl-RS"/>
              </w:rPr>
            </w:pPr>
          </w:p>
          <w:p w14:paraId="32A1981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примену савремених технологија, као што су сензори за мерење попуњености контејнера, камере за надзор и спречавање нелегалног одлагања отпада, ГПС системи за праћење возила и софтверски алати за анализу података и планирање рада комуналних служби.</w:t>
            </w:r>
          </w:p>
        </w:tc>
      </w:tr>
      <w:tr w14:paraId="2E790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73F2D5A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3.2.1:</w:t>
            </w:r>
          </w:p>
          <w:p w14:paraId="45FAD78F">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система управљања отпадом и идентификација приоритетних зона за увођење паметних решења.</w:t>
            </w:r>
          </w:p>
          <w:p w14:paraId="432C60D7">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Избор и набавка сензора за мерење попуњености контејнера и праћење стања опреме.</w:t>
            </w:r>
          </w:p>
          <w:p w14:paraId="188BF46B">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Постављање камера на критичним локацијама ради праћења нелегалног одлагања отпада и заштите јавних површина.</w:t>
            </w:r>
          </w:p>
          <w:p w14:paraId="4C2C7E51">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ГПС система за праћење возила за сакупљање отпада и оптимизацију рута кретања, прикупљање, анализу и визуелизацију података о сакупљању отпада.</w:t>
            </w:r>
          </w:p>
          <w:p w14:paraId="61F6D446">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Пилотирање система у одабраним деловима града и анализа резултата примене.</w:t>
            </w:r>
          </w:p>
          <w:p w14:paraId="553A5C04">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Постепено проширење система на друге делове града на основу резултата пилот-пројекта.</w:t>
            </w:r>
          </w:p>
          <w:p w14:paraId="3AE8F672">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Обука запослених у комуналним службама за коришћење нових технологија и система.</w:t>
            </w:r>
          </w:p>
          <w:p w14:paraId="164349F6">
            <w:pPr>
              <w:pStyle w:val="39"/>
              <w:numPr>
                <w:ilvl w:val="0"/>
                <w:numId w:val="64"/>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Информисање грађана о новим решењима и начину коришћења система за пријаву проблема у области управљања отпадом и праћење ефеката примене мере. </w:t>
            </w:r>
          </w:p>
        </w:tc>
      </w:tr>
      <w:tr w14:paraId="1E568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519FEB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120.000 – 350.000 ЕУР</w:t>
            </w:r>
          </w:p>
          <w:p w14:paraId="014DBCF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(2026–2030, у зависности од броја контејнера, зона покривености и обима опреме)</w:t>
            </w:r>
          </w:p>
        </w:tc>
      </w:tr>
      <w:tr w14:paraId="4E5E6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800B64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ЈКП, Министарство заштите животне средине, Фонд за заштиту животне средине, национални и међународни пројекти у области управљања отпадом, донаторски програми, EU фондови, јавно-приватна партнерства.</w:t>
            </w:r>
          </w:p>
        </w:tc>
      </w:tr>
      <w:tr w14:paraId="616B8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6D4166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ЈП Комуналац Пирот</w:t>
            </w:r>
          </w:p>
        </w:tc>
      </w:tr>
      <w:tr w14:paraId="37BAF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449367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ЈКП Регионална депонија Пирот, Град Пирот, Министарство заштите животне средине, ИТ компаније, добављачи опреме, инспекцијске службе, организације цивилног друштва.</w:t>
            </w:r>
          </w:p>
        </w:tc>
      </w:tr>
      <w:tr w14:paraId="051C4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B7C282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Грађани, комуналне службе, локална самоуправа, привредни субјекти, јавне установе, туристи.</w:t>
            </w:r>
          </w:p>
        </w:tc>
      </w:tr>
      <w:tr w14:paraId="15F26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892772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избор технологије, 2027 – пилотирање система у одабраним зонама, 2028–2030 – постепено проширење система и унапређење управљања отпадом.</w:t>
            </w:r>
          </w:p>
        </w:tc>
      </w:tr>
      <w:tr w14:paraId="2D2F0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F3AC6C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5CE94F1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контејнера опремљених сензорима</w:t>
            </w:r>
          </w:p>
          <w:p w14:paraId="7D8BC3B3">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локација са постављеним камерама</w:t>
            </w:r>
          </w:p>
          <w:p w14:paraId="75DF9985">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возила са ГПС системом</w:t>
            </w:r>
          </w:p>
          <w:p w14:paraId="1E1167F3">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броја препуњених контејнера</w:t>
            </w:r>
          </w:p>
          <w:p w14:paraId="1CCD86A8">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трошкова сакупљања отпада</w:t>
            </w:r>
          </w:p>
          <w:p w14:paraId="13B3A969">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броја нелегалних депонија</w:t>
            </w:r>
          </w:p>
          <w:p w14:paraId="6E76D478">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интервенција на основу података</w:t>
            </w:r>
          </w:p>
          <w:p w14:paraId="5FC1E9B1">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ниво задовољства грађана услугом</w:t>
            </w:r>
          </w:p>
        </w:tc>
      </w:tr>
    </w:tbl>
    <w:p w14:paraId="010FFA4E">
      <w:pPr>
        <w:spacing w:after="0" w:line="240" w:lineRule="auto"/>
        <w:rPr>
          <w:sz w:val="22"/>
          <w:szCs w:val="22"/>
          <w:lang w:val="sr-Cyrl-RS"/>
        </w:rPr>
      </w:pPr>
    </w:p>
    <w:p w14:paraId="5D022EC4">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47652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7C90A65">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36A086EE">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3.2 Дигитализација и паметна решења у управљању отпадом, зеленим површинама и енергетска ефикасност</w:t>
            </w:r>
          </w:p>
        </w:tc>
      </w:tr>
      <w:tr w14:paraId="06557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DCF221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5E5BE46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3.2.2 Дигитално управљање зеленим површинама</w:t>
            </w:r>
          </w:p>
        </w:tc>
      </w:tr>
      <w:tr w14:paraId="69CA7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716456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управљања зеленим површинама применом дигиталних алата и паметних решења за планирање, одржавање и праћење стања паркова, дрвореда и других јавних зелених површина.</w:t>
            </w:r>
          </w:p>
          <w:p w14:paraId="4C7092DF">
            <w:pPr>
              <w:spacing w:after="0" w:line="240" w:lineRule="auto"/>
              <w:rPr>
                <w:rFonts w:ascii="Times New Roman" w:hAnsi="Times New Roman" w:cs="Times New Roman"/>
                <w:sz w:val="22"/>
                <w:szCs w:val="22"/>
                <w:lang w:val="sr-Cyrl-RS"/>
              </w:rPr>
            </w:pPr>
          </w:p>
          <w:p w14:paraId="15BF5FC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увођење интегрисаног система за управљање зеленим површинама (на пример, система типа Park Life), који омогућава евиденцију и мапирање зелених површина, планирање активности одржавања, праћење стања биљног фонда и ефикасније управљање ресурсима. Применом дигиталног система омогућава се боље планирање радова, рационалније коришћење ресурса, брже реаговање на проблеме и унапређење квалитета јавних површина.</w:t>
            </w:r>
          </w:p>
        </w:tc>
      </w:tr>
      <w:tr w14:paraId="22B82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70FE35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3.2.2:</w:t>
            </w:r>
          </w:p>
          <w:p w14:paraId="5790E3AF">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стања управљања зеленим површинама и искустава других локалних самоуправа са сличним решењима.</w:t>
            </w:r>
          </w:p>
          <w:p w14:paraId="6C7B8611">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Мапирање свих јавних зелених површина и формирање базе података о парковима, дрворедима и другим зеленим површинама.</w:t>
            </w:r>
          </w:p>
          <w:p w14:paraId="59D31DAE">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интегрисаног информационог система за управљање зеленим површинама (на пример, система типа Park Life).</w:t>
            </w:r>
          </w:p>
          <w:p w14:paraId="13267E72">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Унос података о зеленим површинама у систем, укључујући врсте биљака, површину, стање и планиране активности одржавања.</w:t>
            </w:r>
          </w:p>
          <w:p w14:paraId="46CD93E9">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система за планирање и праћење активности одржавања зелених површина.</w:t>
            </w:r>
          </w:p>
          <w:p w14:paraId="57B029D6">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Обука запослених за коришћење дигиталног система.</w:t>
            </w:r>
          </w:p>
          <w:p w14:paraId="1C41C891">
            <w:pPr>
              <w:pStyle w:val="39"/>
              <w:numPr>
                <w:ilvl w:val="0"/>
                <w:numId w:val="65"/>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управљања ресурсима на основу података из система.</w:t>
            </w:r>
          </w:p>
        </w:tc>
      </w:tr>
      <w:tr w14:paraId="3CE18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D3C109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40.000 – 120.000 ЕУР</w:t>
            </w:r>
          </w:p>
          <w:p w14:paraId="545430D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(2026–2030, у зависности од обима мапирања и техничких решења))</w:t>
            </w:r>
          </w:p>
        </w:tc>
      </w:tr>
      <w:tr w14:paraId="0F762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2FF83F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јавно комунално предузеће надлежно за одржавање зелених површина, национални програми заштите животне средине, донаторски програми, EU фондови.</w:t>
            </w:r>
          </w:p>
        </w:tc>
      </w:tr>
      <w:tr w14:paraId="1B659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2A6FDD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ЈП Комуналац Пирот</w:t>
            </w:r>
          </w:p>
        </w:tc>
      </w:tr>
      <w:tr w14:paraId="65A11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4622E9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ИТ компаније, надлежна министарства, организације за заштиту животне средине, образовне институције.</w:t>
            </w:r>
          </w:p>
        </w:tc>
      </w:tr>
      <w:tr w14:paraId="6940A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F6DFAF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Циљне групе/корисници: Грађани, комуналне службе, локална самоуправа, посетиоци града.</w:t>
            </w:r>
          </w:p>
        </w:tc>
      </w:tr>
      <w:tr w14:paraId="5B713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0A3EAB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избор система, 2027 – увођење система и мапирање зелених површина, 2028–2030 – редовно коришћење система и унапређење управљања зеленим површинама.</w:t>
            </w:r>
          </w:p>
        </w:tc>
      </w:tr>
      <w:tr w14:paraId="75DF6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1B8435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34FB1D0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успостављен дигитални систем за управљање зеленим површинама</w:t>
            </w:r>
          </w:p>
          <w:p w14:paraId="209605B1">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површина управљаних зелених површина</w:t>
            </w:r>
          </w:p>
          <w:p w14:paraId="366510D9">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уштеде у одржавању </w:t>
            </w:r>
          </w:p>
          <w:p w14:paraId="5E441B7D">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ниво задовољства грађана квалитетом зелених површина</w:t>
            </w:r>
          </w:p>
        </w:tc>
      </w:tr>
    </w:tbl>
    <w:p w14:paraId="17BC49EA">
      <w:pPr>
        <w:spacing w:after="0" w:line="240" w:lineRule="auto"/>
        <w:rPr>
          <w:sz w:val="22"/>
          <w:szCs w:val="22"/>
          <w:lang w:val="sr-Cyrl-RS"/>
        </w:rPr>
      </w:pPr>
    </w:p>
    <w:p w14:paraId="2D6C5121">
      <w:pPr>
        <w:spacing w:line="259" w:lineRule="auto"/>
        <w:rPr>
          <w:sz w:val="22"/>
          <w:szCs w:val="22"/>
          <w:lang w:val="sr-Cyrl-RS"/>
        </w:rPr>
      </w:pPr>
      <w:r>
        <w:rPr>
          <w:sz w:val="22"/>
          <w:szCs w:val="22"/>
          <w:lang w:val="sr-Cyrl-RS"/>
        </w:rPr>
        <w:br w:type="page"/>
      </w:r>
    </w:p>
    <w:p w14:paraId="2F711E87">
      <w:pPr>
        <w:spacing w:after="0" w:line="240" w:lineRule="auto"/>
        <w:rPr>
          <w:sz w:val="22"/>
          <w:szCs w:val="22"/>
          <w:lang w:val="sr-Cyrl-RS"/>
        </w:rPr>
      </w:pPr>
    </w:p>
    <w:p w14:paraId="21ACFC15">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3799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44F7FB5">
            <w:pPr>
              <w:spacing w:after="0" w:line="240" w:lineRule="auto"/>
              <w:rPr>
                <w:rFonts w:ascii="Times New Roman" w:hAnsi="Times New Roman" w:cs="Times New Roman"/>
                <w:sz w:val="22"/>
                <w:szCs w:val="22"/>
                <w:lang w:val="sr-Cyrl-RS"/>
              </w:rPr>
            </w:pPr>
            <w:r>
              <w:rPr>
                <w:sz w:val="22"/>
                <w:szCs w:val="22"/>
                <w:lang w:val="sr-Cyrl-RS"/>
              </w:rPr>
              <w:br w:type="page"/>
            </w: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3.2</w:t>
            </w:r>
          </w:p>
          <w:p w14:paraId="78E30091">
            <w:pPr>
              <w:spacing w:after="0" w:line="240" w:lineRule="auto"/>
              <w:contextualSpacing/>
              <w:rPr>
                <w:rFonts w:ascii="Times New Roman" w:hAnsi="Times New Roman" w:eastAsia="Times New Roman" w:cs="Times New Roman"/>
                <w:bCs/>
                <w:color w:val="000000"/>
                <w:kern w:val="0"/>
                <w:sz w:val="22"/>
                <w:szCs w:val="22"/>
                <w:lang w:val="sr-Cyrl-RS" w:eastAsia="en-GB"/>
              </w:rPr>
            </w:pPr>
            <w:r>
              <w:rPr>
                <w:rFonts w:ascii="Times New Roman" w:hAnsi="Times New Roman" w:eastAsia="Times New Roman" w:cs="Times New Roman"/>
                <w:bCs/>
                <w:color w:val="000000"/>
                <w:kern w:val="0"/>
                <w:sz w:val="22"/>
                <w:szCs w:val="22"/>
                <w:lang w:val="sr-Cyrl-RS" w:eastAsia="en-GB"/>
              </w:rPr>
              <w:t>Дигитализација и паметна решења у управљању отпадом, зеленим површинама и енергетска ефикасност</w:t>
            </w:r>
          </w:p>
        </w:tc>
      </w:tr>
      <w:tr w14:paraId="52874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ECB851D">
            <w:pPr>
              <w:spacing w:after="0" w:line="240" w:lineRule="auto"/>
              <w:jc w:val="both"/>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w:t>
            </w:r>
            <w:r>
              <w:rPr>
                <w:rFonts w:ascii="Times New Roman" w:hAnsi="Times New Roman" w:eastAsia="Times New Roman" w:cs="Times New Roman"/>
                <w:color w:val="000000" w:themeColor="text1"/>
                <w:kern w:val="0"/>
                <w:sz w:val="22"/>
                <w:szCs w:val="22"/>
                <w:lang w:val="sr-Cyrl-RS" w:eastAsia="en-GB"/>
                <w14:textFill>
                  <w14:solidFill>
                    <w14:schemeClr w14:val="tx1"/>
                  </w14:solidFill>
                </w14:textFill>
              </w:rPr>
              <w:t>3.2.3</w:t>
            </w:r>
          </w:p>
          <w:p w14:paraId="00BE5EBD">
            <w:pPr>
              <w:spacing w:after="0" w:line="240" w:lineRule="auto"/>
              <w:contextualSpacing/>
              <w:jc w:val="both"/>
              <w:rPr>
                <w:rFonts w:ascii="Times New Roman" w:hAnsi="Times New Roman" w:eastAsia="Times New Roman" w:cs="Times New Roman"/>
                <w:color w:val="000000"/>
                <w:kern w:val="0"/>
                <w:sz w:val="22"/>
                <w:szCs w:val="22"/>
                <w:lang w:val="sr-Cyrl-RS" w:eastAsia="en-GB"/>
              </w:rPr>
            </w:pPr>
            <w:r>
              <w:rPr>
                <w:rFonts w:ascii="Times New Roman" w:hAnsi="Times New Roman" w:eastAsia="Times New Roman" w:cs="Times New Roman"/>
                <w:color w:val="000000"/>
                <w:kern w:val="0"/>
                <w:sz w:val="22"/>
                <w:szCs w:val="22"/>
                <w:lang w:val="sr-Cyrl-RS" w:eastAsia="en-GB"/>
              </w:rPr>
              <w:t>Унапређење енергетске ефикасности и коришћење обновљивих извора енергије - увођење соларних панела на свим јавним зградама</w:t>
            </w:r>
          </w:p>
          <w:p w14:paraId="22452ACA">
            <w:pPr>
              <w:spacing w:after="0" w:line="240" w:lineRule="auto"/>
              <w:rPr>
                <w:rFonts w:ascii="Times New Roman" w:hAnsi="Times New Roman" w:cs="Times New Roman"/>
                <w:sz w:val="22"/>
                <w:szCs w:val="22"/>
                <w:lang w:val="sr-Cyrl-RS"/>
              </w:rPr>
            </w:pPr>
          </w:p>
        </w:tc>
      </w:tr>
      <w:tr w14:paraId="20CE1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BE3A4D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573708D2">
            <w:p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Уградња соларних панела и соларних електрана на јавним објектима допринеће смањењу потрошње енергије из других извора, смањењу трошкова за енергентекао  и повећању кавлитета животне средине. Такође ће ове мере спроведене на објектима јавне намене служити као пример добре праксе члановима локалне заједнице.</w:t>
            </w:r>
          </w:p>
          <w:p w14:paraId="755A35C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 мере је промоција коришћења локално доступних ОИЕ.</w:t>
            </w:r>
          </w:p>
        </w:tc>
      </w:tr>
      <w:tr w14:paraId="0C421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1E419021">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3.2.3:</w:t>
            </w:r>
          </w:p>
          <w:p w14:paraId="5442FA7C">
            <w:pPr>
              <w:numPr>
                <w:ilvl w:val="0"/>
                <w:numId w:val="66"/>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Мапирање свих јавних објеката погодних за изградњу соларних електрана</w:t>
            </w:r>
          </w:p>
          <w:p w14:paraId="28903F3D">
            <w:pPr>
              <w:numPr>
                <w:ilvl w:val="0"/>
                <w:numId w:val="66"/>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Израда потребне пројектно техничке докуменатције.</w:t>
            </w:r>
          </w:p>
          <w:p w14:paraId="40D6D8FB">
            <w:pPr>
              <w:numPr>
                <w:ilvl w:val="0"/>
                <w:numId w:val="66"/>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Налажење извора средстава</w:t>
            </w:r>
          </w:p>
          <w:p w14:paraId="0D4EFC83">
            <w:pPr>
              <w:numPr>
                <w:ilvl w:val="0"/>
                <w:numId w:val="66"/>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Реализација радова</w:t>
            </w:r>
          </w:p>
          <w:p w14:paraId="2A39F393">
            <w:pPr>
              <w:numPr>
                <w:ilvl w:val="0"/>
                <w:numId w:val="66"/>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Информисање и едукација грађана о ефектима спроведених мера.</w:t>
            </w:r>
          </w:p>
        </w:tc>
      </w:tr>
      <w:tr w14:paraId="5CC84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5F0EFB3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500.000 ЕУР (период 2026–2029)</w:t>
            </w:r>
          </w:p>
        </w:tc>
      </w:tr>
      <w:tr w14:paraId="1B725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AF2B0B9">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Извори финансирања: </w:t>
            </w:r>
            <w:r>
              <w:rPr>
                <w:rFonts w:ascii="Times New Roman" w:hAnsi="Times New Roman" w:cs="Times New Roman"/>
                <w:bCs/>
                <w:sz w:val="22"/>
                <w:szCs w:val="22"/>
                <w:lang w:val="sr-Cyrl-RS"/>
              </w:rPr>
              <w:t>Буџет Града Пирота; Министарство заштите животне средине; Министарство рудартсва и енергетике; Фонд за заштиту животне средине; EU и донаторски програми; Јавно-приватна партнерства</w:t>
            </w:r>
          </w:p>
        </w:tc>
      </w:tr>
      <w:tr w14:paraId="5AC3B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0D32390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 Одељење за урбанизам, стамбено-комуналне послове, грађевинарство и инспекцијске послове</w:t>
            </w:r>
          </w:p>
        </w:tc>
      </w:tr>
      <w:tr w14:paraId="04909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1E2602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Партнери у реализацији: </w:t>
            </w:r>
            <w:r>
              <w:rPr>
                <w:rFonts w:ascii="Times New Roman" w:hAnsi="Times New Roman" w:cs="Times New Roman"/>
                <w:bCs/>
                <w:sz w:val="22"/>
                <w:szCs w:val="22"/>
                <w:lang w:val="sr-Cyrl-RS"/>
              </w:rPr>
              <w:t xml:space="preserve">ЈКП; Образовне установе; Јавне установе; </w:t>
            </w:r>
          </w:p>
        </w:tc>
      </w:tr>
      <w:tr w14:paraId="2514C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AA69E5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2026-2028.</w:t>
            </w:r>
          </w:p>
        </w:tc>
      </w:tr>
      <w:tr w14:paraId="289E8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89053D7">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43ED2550">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уграђених постројења</w:t>
            </w:r>
          </w:p>
          <w:p w14:paraId="7BBD4F77">
            <w:pPr>
              <w:pStyle w:val="39"/>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 смањења потрошње енергије</w:t>
            </w:r>
          </w:p>
        </w:tc>
      </w:tr>
    </w:tbl>
    <w:p w14:paraId="65A85346">
      <w:pPr>
        <w:spacing w:after="0" w:line="240" w:lineRule="auto"/>
        <w:rPr>
          <w:sz w:val="22"/>
          <w:szCs w:val="22"/>
          <w:lang w:val="sr-Cyrl-RS"/>
        </w:rPr>
      </w:pPr>
    </w:p>
    <w:p w14:paraId="058F9F77">
      <w:pPr>
        <w:spacing w:line="259" w:lineRule="auto"/>
        <w:rPr>
          <w:sz w:val="22"/>
          <w:szCs w:val="22"/>
          <w:lang w:val="sr-Cyrl-RS"/>
        </w:rPr>
      </w:pPr>
      <w:r>
        <w:rPr>
          <w:sz w:val="22"/>
          <w:szCs w:val="22"/>
          <w:lang w:val="sr-Cyrl-RS"/>
        </w:rPr>
        <w:br w:type="page"/>
      </w:r>
    </w:p>
    <w:p w14:paraId="71E55572">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41BCD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60BDF9E">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3.2:</w:t>
            </w:r>
          </w:p>
          <w:p w14:paraId="108E64C7">
            <w:pPr>
              <w:spacing w:after="0" w:line="240" w:lineRule="auto"/>
              <w:rPr>
                <w:rFonts w:ascii="Times New Roman" w:hAnsi="Times New Roman" w:cs="Times New Roman"/>
                <w:sz w:val="22"/>
                <w:szCs w:val="22"/>
                <w:lang w:val="sr-Cyrl-RS"/>
              </w:rPr>
            </w:pPr>
            <w:r>
              <w:rPr>
                <w:rFonts w:ascii="Times New Roman" w:hAnsi="Times New Roman" w:eastAsia="Times New Roman" w:cs="Times New Roman"/>
                <w:b/>
                <w:color w:val="000000" w:themeColor="text1"/>
                <w:kern w:val="0"/>
                <w:sz w:val="22"/>
                <w:szCs w:val="22"/>
                <w:lang w:val="sr-Cyrl-RS" w:eastAsia="en-GB"/>
                <w14:textFill>
                  <w14:solidFill>
                    <w14:schemeClr w14:val="tx1"/>
                  </w14:solidFill>
                </w14:textFill>
              </w:rPr>
              <w:t>Дигитализација и паметна решења у управљању отпадом, зеленим површинама и енергетска ефикасност</w:t>
            </w:r>
          </w:p>
        </w:tc>
      </w:tr>
      <w:tr w14:paraId="2A4D1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4CA4E7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Мера/Пројекат (број/опис): 3.2.4</w:t>
            </w:r>
          </w:p>
          <w:p w14:paraId="602FF16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ефеката потрошње енергије – у приватним објектима</w:t>
            </w:r>
          </w:p>
        </w:tc>
      </w:tr>
      <w:tr w14:paraId="79175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9920E4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w:t>
            </w:r>
          </w:p>
          <w:p w14:paraId="2339CAFA">
            <w:p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централизованог система евидентирања потрошње енергије у приватним објектима као и евиденција спроведених мера енергетске санације. На основу прикупљених података вршиће се мапирање потенцијала за спровођење нових мера као и мониторинг ефеката већ реализованих активности.</w:t>
            </w:r>
          </w:p>
          <w:p w14:paraId="7B2C99DB">
            <w:p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Циљ мере је увођење системског приступа активностима у области енергетске ефикасности заснованог на подацима као и отварање података за грађане, истраживаче и привреду.</w:t>
            </w:r>
          </w:p>
        </w:tc>
      </w:tr>
      <w:tr w14:paraId="12FBF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0FDFAED5">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3.2.4:</w:t>
            </w:r>
          </w:p>
          <w:p w14:paraId="1342EDBC">
            <w:pPr>
              <w:numPr>
                <w:ilvl w:val="0"/>
                <w:numId w:val="6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Израда система евиденција података</w:t>
            </w:r>
          </w:p>
          <w:p w14:paraId="09A6FC4C">
            <w:pPr>
              <w:numPr>
                <w:ilvl w:val="0"/>
                <w:numId w:val="6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Прикупљање и дигитализација података и њихово уношење у централизовану базу података.</w:t>
            </w:r>
          </w:p>
          <w:p w14:paraId="6629AF85">
            <w:pPr>
              <w:numPr>
                <w:ilvl w:val="0"/>
                <w:numId w:val="6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Стандардизација и конверзија података у машински читљиве формате (CSV, JSON, API) ради интерне анализе и отварања података.</w:t>
            </w:r>
          </w:p>
          <w:p w14:paraId="683F7F32">
            <w:pPr>
              <w:numPr>
                <w:ilvl w:val="0"/>
                <w:numId w:val="6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Објављивање агрегираних података на Порталу отворених података и успостављање процедуре редовног ажурирања.</w:t>
            </w:r>
          </w:p>
          <w:p w14:paraId="66FF80FF">
            <w:pPr>
              <w:numPr>
                <w:ilvl w:val="0"/>
                <w:numId w:val="6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Геопросторно мапирање ресурса и интеграција података у градски GIS систем.</w:t>
            </w:r>
          </w:p>
          <w:p w14:paraId="73049CB0">
            <w:pPr>
              <w:spacing w:after="0" w:line="240" w:lineRule="auto"/>
              <w:rPr>
                <w:rFonts w:ascii="Times New Roman" w:hAnsi="Times New Roman" w:cs="Times New Roman"/>
                <w:sz w:val="22"/>
                <w:szCs w:val="22"/>
                <w:lang w:val="sr-Cyrl-RS"/>
              </w:rPr>
            </w:pPr>
          </w:p>
        </w:tc>
      </w:tr>
      <w:tr w14:paraId="0C4B4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6EF7AE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20.000 ЕУР (период 2026–2029)</w:t>
            </w:r>
          </w:p>
        </w:tc>
      </w:tr>
      <w:tr w14:paraId="7C043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01EE356">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Извори финансирања: </w:t>
            </w:r>
            <w:r>
              <w:rPr>
                <w:rFonts w:ascii="Times New Roman" w:hAnsi="Times New Roman" w:cs="Times New Roman"/>
                <w:bCs/>
                <w:sz w:val="22"/>
                <w:szCs w:val="22"/>
                <w:lang w:val="sr-Cyrl-RS"/>
              </w:rPr>
              <w:t>Буџет Града Пирота; EU и донаторски програми</w:t>
            </w:r>
          </w:p>
        </w:tc>
      </w:tr>
      <w:tr w14:paraId="0C470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8E174B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 Одељење за урбанизам, стамбено-комуналне послове, грађевинарство и инспекцијске послове</w:t>
            </w:r>
          </w:p>
        </w:tc>
      </w:tr>
      <w:tr w14:paraId="56289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C78823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Партнери у реализацији: </w:t>
            </w:r>
            <w:r>
              <w:rPr>
                <w:rFonts w:ascii="Times New Roman" w:hAnsi="Times New Roman" w:cs="Times New Roman"/>
                <w:bCs/>
                <w:sz w:val="22"/>
                <w:szCs w:val="22"/>
                <w:lang w:val="sr-Cyrl-RS"/>
              </w:rPr>
              <w:t>ЈКП; јавне установе; геодетске службе; ИТ компаније; Канцеларија за ИТ и еУправу</w:t>
            </w:r>
          </w:p>
        </w:tc>
      </w:tr>
      <w:tr w14:paraId="09394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E713CE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w:t>
            </w:r>
            <w:r>
              <w:rPr>
                <w:rFonts w:ascii="Times New Roman" w:hAnsi="Times New Roman" w:cs="Times New Roman"/>
                <w:bCs/>
                <w:sz w:val="22"/>
                <w:szCs w:val="22"/>
                <w:lang w:val="sr-Cyrl-RS"/>
              </w:rPr>
              <w:t>Градска управа; јавна предузећа; инспекцијске службе; грађани; привредни субјекти</w:t>
            </w:r>
          </w:p>
        </w:tc>
      </w:tr>
      <w:tr w14:paraId="7487A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660A42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2026-2029.</w:t>
            </w:r>
          </w:p>
        </w:tc>
      </w:tr>
      <w:tr w14:paraId="0A8F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2DF0DFE">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122887D7">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евидентираних објеката</w:t>
            </w:r>
          </w:p>
          <w:p w14:paraId="37F01048">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објављених скупова података на Порталу отворених података</w:t>
            </w:r>
          </w:p>
          <w:p w14:paraId="0FAD7772">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 GIS приказ јавних ресурса</w:t>
            </w:r>
          </w:p>
          <w:p w14:paraId="0CCC095D">
            <w:pPr>
              <w:spacing w:after="0" w:line="240" w:lineRule="auto"/>
              <w:rPr>
                <w:rFonts w:ascii="Times New Roman" w:hAnsi="Times New Roman" w:cs="Times New Roman"/>
                <w:sz w:val="22"/>
                <w:szCs w:val="22"/>
                <w:lang w:val="sr-Cyrl-RS"/>
              </w:rPr>
            </w:pPr>
          </w:p>
        </w:tc>
      </w:tr>
    </w:tbl>
    <w:p w14:paraId="4E1320E8">
      <w:pPr>
        <w:spacing w:after="0" w:line="240" w:lineRule="auto"/>
        <w:rPr>
          <w:sz w:val="22"/>
          <w:szCs w:val="22"/>
          <w:lang w:val="sr-Cyrl-RS"/>
        </w:rPr>
      </w:pPr>
    </w:p>
    <w:p w14:paraId="4EE24DDB">
      <w:pPr>
        <w:spacing w:after="0" w:line="240" w:lineRule="auto"/>
        <w:rPr>
          <w:sz w:val="22"/>
          <w:szCs w:val="22"/>
          <w:lang w:val="sr-Cyrl-RS"/>
        </w:rPr>
      </w:pPr>
    </w:p>
    <w:p w14:paraId="5AD1A1C6">
      <w:pPr>
        <w:spacing w:after="0" w:line="240" w:lineRule="auto"/>
        <w:rPr>
          <w:sz w:val="22"/>
          <w:szCs w:val="22"/>
          <w:lang w:val="sr-Cyrl-RS"/>
        </w:rPr>
      </w:pPr>
    </w:p>
    <w:p w14:paraId="37381341">
      <w:pPr>
        <w:spacing w:after="0" w:line="240" w:lineRule="auto"/>
        <w:rPr>
          <w:sz w:val="22"/>
          <w:szCs w:val="22"/>
          <w:lang w:val="sr-Cyrl-RS"/>
        </w:rPr>
      </w:pPr>
    </w:p>
    <w:p w14:paraId="7D4774C8">
      <w:pPr>
        <w:spacing w:after="0" w:line="240" w:lineRule="auto"/>
        <w:rPr>
          <w:sz w:val="22"/>
          <w:szCs w:val="22"/>
          <w:lang w:val="sr-Cyrl-RS"/>
        </w:rPr>
      </w:pPr>
    </w:p>
    <w:p w14:paraId="39582A7F">
      <w:pPr>
        <w:spacing w:line="259" w:lineRule="auto"/>
        <w:rPr>
          <w:sz w:val="22"/>
          <w:szCs w:val="22"/>
          <w:lang w:val="sr-Cyrl-RS"/>
        </w:rPr>
      </w:pPr>
      <w:r>
        <w:rPr>
          <w:sz w:val="22"/>
          <w:szCs w:val="22"/>
          <w:lang w:val="sr-Cyrl-RS"/>
        </w:rPr>
        <w:br w:type="page"/>
      </w:r>
    </w:p>
    <w:p w14:paraId="0B63453D">
      <w:pPr>
        <w:spacing w:line="259" w:lineRule="auto"/>
        <w:rPr>
          <w:b/>
          <w:sz w:val="22"/>
          <w:szCs w:val="22"/>
          <w:lang w:val="sr-Cyrl-RS"/>
        </w:rPr>
      </w:pPr>
      <w:r>
        <w:rPr>
          <w:b/>
          <w:sz w:val="22"/>
          <w:szCs w:val="22"/>
          <w:lang w:val="sr-Cyrl-RS"/>
        </w:rPr>
        <w:t>Приоритетна област 4: Паметна локална заједница</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2B4D1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6631E23">
            <w:pPr>
              <w:spacing w:after="0" w:line="240" w:lineRule="auto"/>
              <w:rPr>
                <w:rFonts w:ascii="Times New Roman" w:hAnsi="Times New Roman" w:cs="Times New Roman"/>
                <w:b/>
                <w:bCs/>
                <w:sz w:val="22"/>
                <w:szCs w:val="22"/>
                <w:lang w:val="sr-Cyrl-RS"/>
              </w:rPr>
            </w:pPr>
            <w:r>
              <w:rPr>
                <w:rFonts w:ascii="Times New Roman" w:hAnsi="Times New Roman" w:cs="Times New Roman"/>
                <w:b/>
                <w:bCs/>
                <w:sz w:val="22"/>
                <w:szCs w:val="22"/>
                <w:lang w:val="sr-Cyrl-RS"/>
              </w:rPr>
              <w:t>Приоритетни циљ:</w:t>
            </w:r>
          </w:p>
          <w:p w14:paraId="2387C995">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4.1 Одрживо урбано планирање и квалитетно уређење јавног простора</w:t>
            </w:r>
          </w:p>
        </w:tc>
      </w:tr>
      <w:tr w14:paraId="74537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805CFA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w:t>
            </w:r>
          </w:p>
          <w:p w14:paraId="21FCA50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4.1.1 Унапређење система микромобилности и паметних решења за кретање и боравак у јавном простору</w:t>
            </w:r>
          </w:p>
        </w:tc>
      </w:tr>
      <w:tr w14:paraId="3A8A8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14C1F9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одрживог кретања и коришћења јавног простора кроз постепено увођење и тестирање различитих решења у области микромобилности, туристичких услуга и уређења јавног простора. Решења ће се уводити фазно, у складу са финансијским могућностима, безбедносним условима, техничком спремношћу, интересовањем корисника и</w:t>
            </w:r>
          </w:p>
          <w:p w14:paraId="206596F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доступношћу нових технологија. </w:t>
            </w:r>
          </w:p>
          <w:p w14:paraId="745E304A">
            <w:pPr>
              <w:spacing w:after="0" w:line="240" w:lineRule="auto"/>
              <w:rPr>
                <w:rFonts w:ascii="Times New Roman" w:hAnsi="Times New Roman" w:cs="Times New Roman"/>
                <w:sz w:val="22"/>
                <w:szCs w:val="22"/>
                <w:lang w:val="sr-Cyrl-RS"/>
              </w:rPr>
            </w:pPr>
          </w:p>
          <w:p w14:paraId="5C6F728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Појединачне активности у оквиру мере биће детаљније разрађиване и приоритетизоване током реализације Плана.</w:t>
            </w:r>
          </w:p>
        </w:tc>
      </w:tr>
      <w:tr w14:paraId="015E1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703064F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Активности 4.1.1:</w:t>
            </w:r>
          </w:p>
          <w:p w14:paraId="0B9EA15E">
            <w:pPr>
              <w:pStyle w:val="39"/>
              <w:numPr>
                <w:ilvl w:val="0"/>
                <w:numId w:val="6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Развој система микромобилности на основу анализе потреба, дефинисања локација за станице, ефикасности система  за праћење и исустава градова где су се имплементирала оваква решења. </w:t>
            </w:r>
          </w:p>
          <w:p w14:paraId="5FA13ED4">
            <w:pPr>
              <w:pStyle w:val="39"/>
              <w:numPr>
                <w:ilvl w:val="0"/>
                <w:numId w:val="6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Паметна решења за грађане и посетиоце у централном језгру. Решења која ће се разматрати су постављање дигиталних инфо-панела, мобилна апликација за туристе, систем за пријаву проблема, систем за управљање догађајима. </w:t>
            </w:r>
          </w:p>
          <w:p w14:paraId="47F4473F">
            <w:pPr>
              <w:numPr>
                <w:ilvl w:val="0"/>
                <w:numId w:val="6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Паметно осветљавање архитектонске и споменичке баштине може укључити приоритизацију, усклађивање са плановима урбанистичког развоја и програма туристичке промоције. </w:t>
            </w:r>
          </w:p>
        </w:tc>
      </w:tr>
      <w:tr w14:paraId="0CBCB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26007A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150.000 – 500.000 ЕУР</w:t>
            </w:r>
          </w:p>
          <w:p w14:paraId="0911D8F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(период 2026–2030, у зависности од броја пилот-пројеката и обима имплементације)</w:t>
            </w:r>
          </w:p>
        </w:tc>
      </w:tr>
      <w:tr w14:paraId="07D09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E6019F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грађевинарства, саобраћаја и инфраструктуре, Министарство туризма, EU фондови, донаторски програми, приватни оператори, јавно-приватна партнерства</w:t>
            </w:r>
          </w:p>
        </w:tc>
      </w:tr>
      <w:tr w14:paraId="2AD17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833EB2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Град Пирот (Одељење за урбанизам и изградњу)</w:t>
            </w:r>
          </w:p>
        </w:tc>
      </w:tr>
      <w:tr w14:paraId="6225E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024E30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 ЈКП, Туристичка организација, Полицијска управа, школе, приватни оператори, саобраћајни стручњаци, ИТ компаније</w:t>
            </w:r>
          </w:p>
        </w:tc>
      </w:tr>
      <w:tr w14:paraId="52DA7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45208A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грађани, туристи, ученици и студенти, запослени, посетиоци града, </w:t>
            </w:r>
          </w:p>
          <w:p w14:paraId="3A2259C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особе са инвалидитетом</w:t>
            </w:r>
          </w:p>
        </w:tc>
      </w:tr>
      <w:tr w14:paraId="760FA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1A29A8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потреба и могућности; 2027–2028 – пилотирање решења; 2029-2030 – ширење и унапређење система.</w:t>
            </w:r>
          </w:p>
        </w:tc>
      </w:tr>
      <w:tr w14:paraId="35ABE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20AE37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Показатељи: </w:t>
            </w:r>
          </w:p>
          <w:p w14:paraId="06C4C5B7">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израђена анализа потреба</w:t>
            </w:r>
          </w:p>
          <w:p w14:paraId="45E1B886">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пилот-пројеката</w:t>
            </w:r>
          </w:p>
          <w:p w14:paraId="7F70CB9C">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корисника система</w:t>
            </w:r>
          </w:p>
          <w:p w14:paraId="25402532">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смањење броја путовања аутомобилом у центру града</w:t>
            </w:r>
          </w:p>
          <w:p w14:paraId="28DFBD04">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ниво задовољства корисника</w:t>
            </w:r>
          </w:p>
          <w:p w14:paraId="2A6311BB">
            <w:pPr>
              <w:pStyle w:val="39"/>
              <w:numPr>
                <w:ilvl w:val="1"/>
                <w:numId w:val="3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туриста који користе услуге</w:t>
            </w:r>
          </w:p>
        </w:tc>
      </w:tr>
    </w:tbl>
    <w:p w14:paraId="1FB5D02E">
      <w:pPr>
        <w:spacing w:after="0" w:line="240" w:lineRule="auto"/>
        <w:rPr>
          <w:sz w:val="22"/>
          <w:szCs w:val="22"/>
          <w:lang w:val="sr-Cyrl-RS"/>
        </w:rPr>
      </w:pPr>
    </w:p>
    <w:p w14:paraId="1D00347A">
      <w:pPr>
        <w:spacing w:after="0" w:line="240" w:lineRule="auto"/>
        <w:rPr>
          <w:sz w:val="22"/>
          <w:szCs w:val="22"/>
          <w:lang w:val="sr-Cyrl-RS"/>
        </w:rPr>
      </w:pPr>
    </w:p>
    <w:p w14:paraId="2BE9F5E7">
      <w:pPr>
        <w:spacing w:line="259" w:lineRule="auto"/>
        <w:rPr>
          <w:sz w:val="22"/>
          <w:szCs w:val="22"/>
          <w:lang w:val="sr-Cyrl-RS"/>
        </w:rPr>
      </w:pPr>
      <w:r>
        <w:rPr>
          <w:sz w:val="22"/>
          <w:szCs w:val="22"/>
          <w:lang w:val="sr-Cyrl-RS"/>
        </w:rPr>
        <w:br w:type="page"/>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14:paraId="0306E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98B60A1">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w:t>
            </w:r>
            <w:r>
              <w:rPr>
                <w:rFonts w:ascii="Times New Roman" w:hAnsi="Times New Roman" w:eastAsia="Times New Roman" w:cs="Times New Roman"/>
                <w:b/>
                <w:color w:val="000000" w:themeColor="text1"/>
                <w:kern w:val="0"/>
                <w:sz w:val="22"/>
                <w:szCs w:val="22"/>
                <w:lang w:val="sr-Cyrl-RS" w:eastAsia="en-GB"/>
                <w14:textFill>
                  <w14:solidFill>
                    <w14:schemeClr w14:val="tx1"/>
                  </w14:solidFill>
                </w14:textFill>
              </w:rPr>
              <w:t xml:space="preserve">4.2 Развој дигиталне инфраструктуре и паметних решења у јавном простору </w:t>
            </w:r>
          </w:p>
        </w:tc>
      </w:tr>
      <w:tr w14:paraId="1BB92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AAA666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4.2.1 </w:t>
            </w:r>
            <w:r>
              <w:rPr>
                <w:rFonts w:ascii="Times New Roman" w:hAnsi="Times New Roman" w:eastAsia="Times New Roman" w:cs="Times New Roman"/>
                <w:color w:val="000000" w:themeColor="text1"/>
                <w:kern w:val="0"/>
                <w:sz w:val="22"/>
                <w:lang w:val="sr-Cyrl-RS" w:eastAsia="en-GB"/>
                <w14:textFill>
                  <w14:solidFill>
                    <w14:schemeClr w14:val="tx1"/>
                  </w14:solidFill>
                </w14:textFill>
              </w:rPr>
              <w:t>Континуирано унапређење паметне јавне расвете</w:t>
            </w:r>
          </w:p>
          <w:p w14:paraId="3627461A">
            <w:pPr>
              <w:spacing w:after="0" w:line="240" w:lineRule="auto"/>
              <w:rPr>
                <w:rFonts w:ascii="Times New Roman" w:hAnsi="Times New Roman" w:cs="Times New Roman"/>
                <w:sz w:val="22"/>
                <w:szCs w:val="22"/>
                <w:lang w:val="sr-Cyrl-RS"/>
              </w:rPr>
            </w:pPr>
          </w:p>
        </w:tc>
      </w:tr>
      <w:tr w14:paraId="6A71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8D7890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 Унапређење постојећег система ЈО подизањем нивоа управљања системом. Увођење нових функција праћења, анализе и управљања система. Ширење обувата система ЈО.</w:t>
            </w:r>
          </w:p>
          <w:p w14:paraId="6FB0BDE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 пројекта је повећање квалитета услуге уз смањење трошкова.</w:t>
            </w:r>
          </w:p>
        </w:tc>
      </w:tr>
      <w:tr w14:paraId="08E3A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0255" w:type="dxa"/>
          </w:tcPr>
          <w:p w14:paraId="2420A1E4">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4.2.1:</w:t>
            </w:r>
          </w:p>
          <w:p w14:paraId="12EF6679">
            <w:pPr>
              <w:pStyle w:val="39"/>
              <w:numPr>
                <w:ilvl w:val="0"/>
                <w:numId w:val="70"/>
              </w:numPr>
              <w:spacing w:after="0" w:line="240" w:lineRule="auto"/>
              <w:ind w:left="589" w:hanging="283"/>
              <w:rPr>
                <w:rFonts w:ascii="Times New Roman" w:hAnsi="Times New Roman" w:cs="Times New Roman"/>
                <w:bCs/>
                <w:sz w:val="22"/>
                <w:szCs w:val="22"/>
                <w:lang w:val="sr-Cyrl-RS"/>
              </w:rPr>
            </w:pPr>
            <w:r>
              <w:rPr>
                <w:rFonts w:ascii="Times New Roman" w:hAnsi="Times New Roman" w:cs="Times New Roman"/>
                <w:bCs/>
                <w:sz w:val="22"/>
                <w:szCs w:val="22"/>
                <w:lang w:val="sr-Cyrl-RS"/>
              </w:rPr>
              <w:t>Надоградња постојећег софтверског система</w:t>
            </w:r>
          </w:p>
          <w:p w14:paraId="053ADDBE">
            <w:pPr>
              <w:pStyle w:val="39"/>
              <w:numPr>
                <w:ilvl w:val="0"/>
                <w:numId w:val="70"/>
              </w:numPr>
              <w:spacing w:after="0" w:line="240" w:lineRule="auto"/>
              <w:ind w:left="589" w:hanging="283"/>
              <w:rPr>
                <w:rFonts w:ascii="Times New Roman" w:hAnsi="Times New Roman" w:cs="Times New Roman"/>
                <w:bCs/>
                <w:sz w:val="22"/>
                <w:szCs w:val="22"/>
                <w:lang w:val="sr-Cyrl-RS"/>
              </w:rPr>
            </w:pPr>
            <w:r>
              <w:rPr>
                <w:rFonts w:ascii="Times New Roman" w:hAnsi="Times New Roman" w:cs="Times New Roman"/>
                <w:bCs/>
                <w:sz w:val="22"/>
                <w:szCs w:val="22"/>
                <w:lang w:val="sr-Cyrl-RS"/>
              </w:rPr>
              <w:t>Набавка и уградња опреме</w:t>
            </w:r>
          </w:p>
          <w:p w14:paraId="3E5974D3">
            <w:pPr>
              <w:pStyle w:val="39"/>
              <w:numPr>
                <w:ilvl w:val="0"/>
                <w:numId w:val="70"/>
              </w:numPr>
              <w:spacing w:after="0" w:line="240" w:lineRule="auto"/>
              <w:ind w:left="589" w:hanging="283"/>
              <w:rPr>
                <w:rFonts w:ascii="Times New Roman" w:hAnsi="Times New Roman" w:cs="Times New Roman"/>
                <w:sz w:val="22"/>
                <w:szCs w:val="22"/>
                <w:lang w:val="sr-Cyrl-RS"/>
              </w:rPr>
            </w:pPr>
            <w:r>
              <w:rPr>
                <w:rFonts w:ascii="Times New Roman" w:hAnsi="Times New Roman" w:cs="Times New Roman"/>
                <w:bCs/>
                <w:sz w:val="22"/>
                <w:szCs w:val="22"/>
                <w:lang w:val="sr-Cyrl-RS"/>
              </w:rPr>
              <w:t>Интеграција података у градски GIS систем.</w:t>
            </w:r>
          </w:p>
        </w:tc>
      </w:tr>
      <w:tr w14:paraId="2C89B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FD7955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100.000 ЕУР (период 2026–2029)</w:t>
            </w:r>
          </w:p>
        </w:tc>
      </w:tr>
      <w:tr w14:paraId="19DF6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9FC29E1">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Извори финансирања: ЈПП; </w:t>
            </w:r>
            <w:r>
              <w:rPr>
                <w:rFonts w:ascii="Times New Roman" w:hAnsi="Times New Roman" w:cs="Times New Roman"/>
                <w:bCs/>
                <w:sz w:val="22"/>
                <w:szCs w:val="22"/>
                <w:lang w:val="sr-Cyrl-RS"/>
              </w:rPr>
              <w:t>Буџет Града Пирота; EU и донаторски програми</w:t>
            </w:r>
          </w:p>
        </w:tc>
      </w:tr>
      <w:tr w14:paraId="2EFC3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9CCC05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 Одељење за урбанизам, стамбено-комуналне послове, грађевинарство и инспекцијске послове</w:t>
            </w:r>
          </w:p>
        </w:tc>
      </w:tr>
      <w:tr w14:paraId="27568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1DAD95B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w:t>
            </w:r>
            <w:r>
              <w:rPr>
                <w:rFonts w:ascii="Times New Roman" w:hAnsi="Times New Roman" w:cs="Times New Roman"/>
                <w:bCs/>
                <w:sz w:val="22"/>
                <w:szCs w:val="22"/>
                <w:lang w:val="sr-Cyrl-RS"/>
              </w:rPr>
              <w:t xml:space="preserve"> Приватни партнер – ЈПП; ИТ компаније; </w:t>
            </w:r>
          </w:p>
        </w:tc>
      </w:tr>
      <w:tr w14:paraId="7DFF3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3D0EDB4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w:t>
            </w:r>
            <w:r>
              <w:rPr>
                <w:rFonts w:ascii="Times New Roman" w:hAnsi="Times New Roman" w:cs="Times New Roman"/>
                <w:bCs/>
                <w:sz w:val="22"/>
                <w:szCs w:val="22"/>
                <w:lang w:val="sr-Cyrl-RS"/>
              </w:rPr>
              <w:t>Градска управа; грађани;</w:t>
            </w:r>
          </w:p>
        </w:tc>
      </w:tr>
      <w:tr w14:paraId="331AD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4254324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2026-2029.</w:t>
            </w:r>
          </w:p>
        </w:tc>
      </w:tr>
      <w:tr w14:paraId="10617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tcPr>
          <w:p w14:paraId="28333253">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4F1E5DAA">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евидентираних објеката</w:t>
            </w:r>
          </w:p>
          <w:p w14:paraId="5AFC0F7C">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објављених скупова података на Порталу отворених података</w:t>
            </w:r>
          </w:p>
          <w:p w14:paraId="12EAE1E4">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 GIS приказ јавних ресурса</w:t>
            </w:r>
          </w:p>
          <w:p w14:paraId="57E89323">
            <w:pPr>
              <w:spacing w:after="0" w:line="240" w:lineRule="auto"/>
              <w:rPr>
                <w:rFonts w:ascii="Times New Roman" w:hAnsi="Times New Roman" w:cs="Times New Roman"/>
                <w:sz w:val="22"/>
                <w:szCs w:val="22"/>
                <w:lang w:val="sr-Cyrl-RS"/>
              </w:rPr>
            </w:pPr>
          </w:p>
        </w:tc>
      </w:tr>
    </w:tbl>
    <w:p w14:paraId="0755FD0A">
      <w:pPr>
        <w:spacing w:after="0" w:line="240" w:lineRule="auto"/>
        <w:rPr>
          <w:sz w:val="22"/>
          <w:szCs w:val="22"/>
          <w:lang w:val="sr-Cyrl-RS"/>
        </w:rPr>
      </w:pPr>
    </w:p>
    <w:p w14:paraId="08D90E07">
      <w:pPr>
        <w:spacing w:after="0" w:line="240" w:lineRule="auto"/>
        <w:rPr>
          <w:sz w:val="22"/>
          <w:szCs w:val="22"/>
          <w:lang w:val="sr-Cyrl-RS"/>
        </w:rPr>
      </w:pPr>
    </w:p>
    <w:p w14:paraId="45894608">
      <w:pPr>
        <w:rPr>
          <w:sz w:val="22"/>
          <w:szCs w:val="22"/>
          <w:lang w:val="sr-Cyrl-RS"/>
        </w:rPr>
      </w:pPr>
      <w:r>
        <w:rPr>
          <w:sz w:val="22"/>
          <w:szCs w:val="22"/>
          <w:lang w:val="sr-Cyrl-RS"/>
        </w:rPr>
        <w:br w:type="page"/>
      </w:r>
    </w:p>
    <w:p w14:paraId="22F348C7">
      <w:pPr>
        <w:rPr>
          <w:b/>
          <w:sz w:val="22"/>
          <w:szCs w:val="22"/>
          <w:lang w:val="sr-Cyrl-RS"/>
        </w:rPr>
      </w:pPr>
      <w:r>
        <w:rPr>
          <w:b/>
          <w:sz w:val="22"/>
          <w:szCs w:val="22"/>
          <w:lang w:val="sr-Cyrl-RS"/>
        </w:rPr>
        <w:t>Приоритетна област 5: Паметно живљење</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31777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16" w:type="dxa"/>
          </w:tcPr>
          <w:p w14:paraId="6A9A0324">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w:t>
            </w:r>
            <w:r>
              <w:rPr>
                <w:rFonts w:ascii="Times New Roman" w:hAnsi="Times New Roman" w:eastAsia="Times New Roman" w:cs="Times New Roman"/>
                <w:b/>
                <w:color w:val="000000" w:themeColor="text1"/>
                <w:kern w:val="0"/>
                <w:sz w:val="22"/>
                <w:szCs w:val="22"/>
                <w:lang w:val="sr-Cyrl-RS" w:eastAsia="en-GB"/>
                <w14:textFill>
                  <w14:solidFill>
                    <w14:schemeClr w14:val="tx1"/>
                  </w14:solidFill>
                </w14:textFill>
              </w:rPr>
              <w:t>5.1 Паметна решења у области образовања</w:t>
            </w:r>
          </w:p>
        </w:tc>
      </w:tr>
      <w:tr w14:paraId="7D639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F04920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Мера/Пројекат (број/опис): 5.1.1 Развој дигиталног образовног окружења и унапређење примене паметних технологија у образовању</w:t>
            </w:r>
          </w:p>
        </w:tc>
      </w:tr>
      <w:tr w14:paraId="3B9D5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16628F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Опис мере/пројекта: Мера има за циљ унапређење квалитета образовања кроз примену дигиталних технологија, развој компетенција наставника и повећање доступности дигиталних образовних ресурса у школама и библиотекама.</w:t>
            </w:r>
          </w:p>
          <w:p w14:paraId="773F4766">
            <w:pPr>
              <w:spacing w:after="0" w:line="240" w:lineRule="auto"/>
              <w:rPr>
                <w:rFonts w:ascii="Times New Roman" w:hAnsi="Times New Roman" w:cs="Times New Roman"/>
                <w:sz w:val="22"/>
                <w:szCs w:val="22"/>
                <w:lang w:val="sr-Cyrl-RS"/>
              </w:rPr>
            </w:pPr>
          </w:p>
          <w:p w14:paraId="51A31DF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опремање образовних установа савременом дигиталном опремом, унапређење дигиталних вештина наставника и ученика, као и дигитализацију библиотека и развој услуга које омогућавају приступ образовним садржајима и информацијама.</w:t>
            </w:r>
          </w:p>
          <w:p w14:paraId="79C2A8E8">
            <w:pPr>
              <w:spacing w:after="0" w:line="240" w:lineRule="auto"/>
              <w:rPr>
                <w:rFonts w:ascii="Times New Roman" w:hAnsi="Times New Roman" w:cs="Times New Roman"/>
                <w:sz w:val="22"/>
                <w:szCs w:val="22"/>
                <w:lang w:val="sr-Cyrl-RS"/>
              </w:rPr>
            </w:pPr>
          </w:p>
          <w:p w14:paraId="3BD6D45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Применом ових активности ствара се савремено образовно окружење које омогућава примену иновативних метода наставе, развој дигиталних компетенција ученика и повећање доступности знања.</w:t>
            </w:r>
          </w:p>
        </w:tc>
      </w:tr>
      <w:tr w14:paraId="1E8A7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1DD814C1">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5.1.1:</w:t>
            </w:r>
          </w:p>
          <w:p w14:paraId="05A0FF51">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Анализа постојећег стања дигиталне инфраструктуре у основним и средњим школама и библиотекама.</w:t>
            </w:r>
          </w:p>
          <w:p w14:paraId="0C6F79AE">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Набавка и увођење дигиталне опреме у школе, укључујући таблете, лаптопове, паметне табле и другу наставну опрему.</w:t>
            </w:r>
          </w:p>
          <w:p w14:paraId="2B9BC4FB">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паметних учионица за реализацију интерактивне наставе.</w:t>
            </w:r>
          </w:p>
          <w:p w14:paraId="11E09093">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Унапређење услова за хибридну и онлајн наставу.</w:t>
            </w:r>
          </w:p>
          <w:p w14:paraId="6F172480">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Организација обука за наставнике за примену дигиталних алата и платформи у настави.</w:t>
            </w:r>
          </w:p>
          <w:p w14:paraId="65E03F2E">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Увођење дигиталних образовних платформи и едукативних апликација.</w:t>
            </w:r>
          </w:p>
          <w:p w14:paraId="66E4AB24">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Дигитализација библиотека и унапређење приступа дигиталним садржајима.</w:t>
            </w:r>
          </w:p>
          <w:p w14:paraId="6D865F57">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Обезбеђивање рачунарских пунктова и приступа интернету у библиотекама.</w:t>
            </w:r>
          </w:p>
          <w:p w14:paraId="57046F96">
            <w:pPr>
              <w:pStyle w:val="39"/>
              <w:numPr>
                <w:ilvl w:val="0"/>
                <w:numId w:val="71"/>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Увођење електронских књига и дигиталних образовних ресурса.</w:t>
            </w:r>
          </w:p>
          <w:p w14:paraId="6039A562">
            <w:pPr>
              <w:pStyle w:val="39"/>
              <w:numPr>
                <w:ilvl w:val="0"/>
                <w:numId w:val="71"/>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Праћење коришћења дигиталних алата и унапређење квалитета наставе.</w:t>
            </w:r>
          </w:p>
        </w:tc>
      </w:tr>
      <w:tr w14:paraId="5356C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1E6EE7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Процењена вредност:  100.000 ЕУР (период 2026–2030, у зависности од броја школа, обима опреме и броја обука)</w:t>
            </w:r>
          </w:p>
        </w:tc>
      </w:tr>
      <w:tr w14:paraId="40017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2833E80">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просвете, национални програми дигитализације образовања, донаторски програми, EU фондови, приватни сектор.</w:t>
            </w:r>
          </w:p>
        </w:tc>
      </w:tr>
      <w:tr w14:paraId="31369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476EB8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 xml:space="preserve">Град Пирот </w:t>
            </w:r>
          </w:p>
        </w:tc>
      </w:tr>
      <w:tr w14:paraId="5EB3B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59A622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w:t>
            </w:r>
            <w:r>
              <w:rPr>
                <w:rFonts w:ascii="Times New Roman" w:hAnsi="Times New Roman" w:cs="Times New Roman"/>
                <w:bCs/>
                <w:sz w:val="22"/>
                <w:szCs w:val="22"/>
                <w:lang w:val="sr-Cyrl-RS"/>
              </w:rPr>
              <w:t xml:space="preserve"> Основне и средње школе, библиотеке, Министарство просвете, школске управе, ИТ компаније, образовне институције, организације цивилног друштва.</w:t>
            </w:r>
          </w:p>
        </w:tc>
      </w:tr>
      <w:tr w14:paraId="5D5F3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05F918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w:t>
            </w:r>
            <w:r>
              <w:rPr>
                <w:rFonts w:ascii="Times New Roman" w:hAnsi="Times New Roman" w:cs="Times New Roman"/>
                <w:bCs/>
                <w:sz w:val="22"/>
                <w:szCs w:val="22"/>
                <w:lang w:val="sr-Cyrl-RS"/>
              </w:rPr>
              <w:t>Ученици, наставници, библиотекари, образовне институције, родитељи, локална заједница.</w:t>
            </w:r>
          </w:p>
        </w:tc>
      </w:tr>
      <w:tr w14:paraId="32B3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A0F942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почетак набавке опреме и обука, 2027–2028 – увођење паметних учионица и дигитализација библиотека, 2029–2030 – проширење система и унапређење примене дигиталних технологија у образовању.</w:t>
            </w:r>
          </w:p>
        </w:tc>
      </w:tr>
      <w:tr w14:paraId="1A0B1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A1658A6">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3653AD46">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школа опремљених дигиталном опремом</w:t>
            </w:r>
          </w:p>
          <w:p w14:paraId="432B2F85">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успостављених паметних учионица</w:t>
            </w:r>
          </w:p>
          <w:p w14:paraId="6ACADA07">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обучених наставника</w:t>
            </w:r>
          </w:p>
          <w:p w14:paraId="031B4126">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дигитализованих библиотека</w:t>
            </w:r>
          </w:p>
          <w:p w14:paraId="479EF2FF">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ученика који користе дигиталне алате</w:t>
            </w:r>
          </w:p>
          <w:p w14:paraId="37DCF037">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корисника библиотечких дигиталних услуга</w:t>
            </w:r>
          </w:p>
          <w:p w14:paraId="31F834B7">
            <w:pPr>
              <w:numPr>
                <w:ilvl w:val="0"/>
                <w:numId w:val="67"/>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ниво задовољства корисника квалитетом наставе</w:t>
            </w:r>
          </w:p>
        </w:tc>
      </w:tr>
    </w:tbl>
    <w:p w14:paraId="365580A3">
      <w:pPr>
        <w:spacing w:after="0" w:line="240" w:lineRule="auto"/>
        <w:rPr>
          <w:sz w:val="22"/>
          <w:szCs w:val="22"/>
          <w:lang w:val="sr-Cyrl-RS"/>
        </w:rPr>
      </w:pPr>
    </w:p>
    <w:p w14:paraId="0934CF00">
      <w:pPr>
        <w:rPr>
          <w:sz w:val="22"/>
          <w:szCs w:val="22"/>
          <w:lang w:val="sr-Cyrl-RS"/>
        </w:rPr>
      </w:pPr>
      <w:r>
        <w:rPr>
          <w:sz w:val="22"/>
          <w:szCs w:val="22"/>
          <w:lang w:val="sr-Cyrl-RS"/>
        </w:rPr>
        <w:br w:type="page"/>
      </w:r>
    </w:p>
    <w:p w14:paraId="3676038E">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79D40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9F5E80D">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w:t>
            </w:r>
            <w:r>
              <w:rPr>
                <w:rFonts w:ascii="Times New Roman" w:hAnsi="Times New Roman" w:eastAsia="Times New Roman" w:cs="Times New Roman"/>
                <w:b/>
                <w:color w:val="000000" w:themeColor="text1"/>
                <w:kern w:val="0"/>
                <w:sz w:val="22"/>
                <w:szCs w:val="22"/>
                <w:lang w:val="sr-Cyrl-RS" w:eastAsia="en-GB"/>
                <w14:textFill>
                  <w14:solidFill>
                    <w14:schemeClr w14:val="tx1"/>
                  </w14:solidFill>
                </w14:textFill>
              </w:rPr>
              <w:t>5.2 Паметна решења у области здравља и здравствене заштите</w:t>
            </w:r>
          </w:p>
        </w:tc>
      </w:tr>
      <w:tr w14:paraId="57DA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5DB445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Мера/Пројекат (број/опис): 5.2.1 Унапређење система електронског заказивања прегледа и доступности здравствених услуга</w:t>
            </w:r>
          </w:p>
        </w:tc>
      </w:tr>
      <w:tr w14:paraId="49C97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947F8C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доступности здравствених услуга и смањење времена чекања на прегледе кроз унапређење система електронског заказивања прегледа и повећање доступности услуга за све грађане, посебно за бебе, децу предшколског узраста и старије становништво.</w:t>
            </w:r>
          </w:p>
          <w:p w14:paraId="59203CC4">
            <w:pPr>
              <w:spacing w:after="0" w:line="240" w:lineRule="auto"/>
              <w:rPr>
                <w:rFonts w:ascii="Times New Roman" w:hAnsi="Times New Roman" w:cs="Times New Roman"/>
                <w:sz w:val="22"/>
                <w:szCs w:val="22"/>
                <w:lang w:val="sr-Cyrl-RS"/>
              </w:rPr>
            </w:pPr>
          </w:p>
          <w:p w14:paraId="44C80DE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унапређење постојећих система електронског заказивања прегледа, јачање техничких и организационих капацитета здравствених установа, као и пружање подршке пацијентима у коришћењу дигиталних здравствених услуга. Посебан фокус ставља се на једноставност приступа услугама и равномерну доступност здравствене заштите.</w:t>
            </w:r>
          </w:p>
        </w:tc>
      </w:tr>
      <w:tr w14:paraId="7A39A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5143709C">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5.2.1:</w:t>
            </w:r>
          </w:p>
          <w:p w14:paraId="2343E4BE">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нализа постојећег система заказивања прегледа у здравственим установама.</w:t>
            </w:r>
          </w:p>
          <w:p w14:paraId="7EAB1F37">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Унапређење техничке инфраструктуре за електронско заказивање прегледа.</w:t>
            </w:r>
          </w:p>
          <w:p w14:paraId="05D98B27">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Обезбеђивање могућности електронског заказивања прегледа за све пацијенте.</w:t>
            </w:r>
          </w:p>
          <w:p w14:paraId="05BC088D">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Унапређење доступности заказивања прегледа за бебе, децу предшколског узраста и старије становништво.</w:t>
            </w:r>
          </w:p>
          <w:p w14:paraId="19A0B13D">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пунктова за подршку пацијентима у коришћењу електронских услуга.</w:t>
            </w:r>
          </w:p>
          <w:p w14:paraId="44BC247C">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Информисање грађана о могућностима електронског заказивања прегледа.</w:t>
            </w:r>
          </w:p>
          <w:p w14:paraId="00D09326">
            <w:pPr>
              <w:pStyle w:val="39"/>
              <w:numPr>
                <w:ilvl w:val="0"/>
                <w:numId w:val="7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Обука запослених за коришћење система електронског заказивања.</w:t>
            </w:r>
          </w:p>
          <w:p w14:paraId="5CA9D412">
            <w:pPr>
              <w:pStyle w:val="39"/>
              <w:numPr>
                <w:ilvl w:val="0"/>
                <w:numId w:val="72"/>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Праћење времена чекања на прегледе и унапређење организације рада.</w:t>
            </w:r>
          </w:p>
        </w:tc>
      </w:tr>
      <w:tr w14:paraId="6526D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14A298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Процењена вредност:  20.000 ЕУР </w:t>
            </w:r>
          </w:p>
        </w:tc>
      </w:tr>
      <w:tr w14:paraId="3836E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E9794DF">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здравља, Републички фонд за здравствено осигурање, национални програми дигитализације здравства, донаторски програми, EU фондови.</w:t>
            </w:r>
          </w:p>
        </w:tc>
      </w:tr>
      <w:tr w14:paraId="56A61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CF1E33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здравствена установа надлежна за примарну здравствену заштиту</w:t>
            </w:r>
          </w:p>
        </w:tc>
      </w:tr>
      <w:tr w14:paraId="273CB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C29B620">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w:t>
            </w:r>
            <w:r>
              <w:rPr>
                <w:rFonts w:ascii="Times New Roman" w:hAnsi="Times New Roman" w:cs="Times New Roman"/>
                <w:bCs/>
                <w:sz w:val="22"/>
                <w:szCs w:val="22"/>
                <w:lang w:val="sr-Cyrl-RS"/>
              </w:rPr>
              <w:t xml:space="preserve"> Дом здравља Пирот, здравствене установе, Министарство здравља, Републички фонд за здравствено осигурање, ИТ компаније, организације цивилног друштва.</w:t>
            </w:r>
          </w:p>
        </w:tc>
      </w:tr>
      <w:tr w14:paraId="74943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07145E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w:t>
            </w:r>
            <w:r>
              <w:rPr>
                <w:rFonts w:ascii="Times New Roman" w:hAnsi="Times New Roman" w:cs="Times New Roman"/>
                <w:bCs/>
                <w:sz w:val="22"/>
                <w:szCs w:val="22"/>
                <w:lang w:val="sr-Cyrl-RS"/>
              </w:rPr>
              <w:t>Пацијенти, родитељи и бебе, деца предшколског узраста, старије особе, особе са инвалидитетом, здравствени радници, грађани.</w:t>
            </w:r>
          </w:p>
        </w:tc>
      </w:tr>
      <w:tr w14:paraId="53009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5AB985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постојећег система и планирање унапређења, 2027 – унапређење техничких и организационих услова, 2028–2030 – континуирано унапређење доступности и квалитета услуга.</w:t>
            </w:r>
          </w:p>
        </w:tc>
      </w:tr>
      <w:tr w14:paraId="064F7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94BD9CA">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4DEEF8F1">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пацијената који користе електронско заказивање прегледа</w:t>
            </w:r>
          </w:p>
          <w:p w14:paraId="63D1183B">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заказаних прегледа путем електронског система</w:t>
            </w:r>
          </w:p>
          <w:p w14:paraId="679B71BD">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просечно време чекања на преглед</w:t>
            </w:r>
          </w:p>
          <w:p w14:paraId="5167457D">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пунктова за подршку пацијентима</w:t>
            </w:r>
          </w:p>
          <w:p w14:paraId="01E1A07C">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информативних активности</w:t>
            </w:r>
          </w:p>
          <w:p w14:paraId="47D660E1">
            <w:pPr>
              <w:numPr>
                <w:ilvl w:val="0"/>
                <w:numId w:val="67"/>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ниво задовољства пацијената услугом</w:t>
            </w:r>
          </w:p>
        </w:tc>
      </w:tr>
    </w:tbl>
    <w:p w14:paraId="3243723E">
      <w:pPr>
        <w:spacing w:after="0" w:line="240" w:lineRule="auto"/>
        <w:rPr>
          <w:sz w:val="22"/>
          <w:szCs w:val="22"/>
          <w:lang w:val="sr-Cyrl-RS"/>
        </w:rPr>
      </w:pPr>
    </w:p>
    <w:p w14:paraId="608279D5">
      <w:pPr>
        <w:rPr>
          <w:sz w:val="22"/>
          <w:szCs w:val="22"/>
          <w:lang w:val="sr-Cyrl-RS"/>
        </w:rPr>
      </w:pPr>
      <w:r>
        <w:rPr>
          <w:sz w:val="22"/>
          <w:szCs w:val="22"/>
          <w:lang w:val="sr-Cyrl-RS"/>
        </w:rPr>
        <w:br w:type="page"/>
      </w:r>
    </w:p>
    <w:p w14:paraId="3BAE4136">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0076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0888BAE5">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w:t>
            </w:r>
            <w:r>
              <w:rPr>
                <w:rFonts w:ascii="Times New Roman" w:hAnsi="Times New Roman" w:eastAsia="Times New Roman" w:cs="Times New Roman"/>
                <w:b/>
                <w:color w:val="000000" w:themeColor="text1"/>
                <w:kern w:val="0"/>
                <w:sz w:val="22"/>
                <w:szCs w:val="22"/>
                <w:lang w:val="sr-Cyrl-RS" w:eastAsia="en-GB"/>
                <w14:textFill>
                  <w14:solidFill>
                    <w14:schemeClr w14:val="tx1"/>
                  </w14:solidFill>
                </w14:textFill>
              </w:rPr>
              <w:t>5.3 Дигитална трансформација у области културе и спорта</w:t>
            </w:r>
          </w:p>
        </w:tc>
      </w:tr>
      <w:tr w14:paraId="0C2B7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2EBD3D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Мера/Пројекат (број/опис): 5.3.1 Дигитално управљање спортским објектима</w:t>
            </w:r>
          </w:p>
        </w:tc>
      </w:tr>
      <w:tr w14:paraId="6EC7B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9887C33">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управљања спортским објектима и спортским активностима кроз увођење дигиталних алата за евиденцију, резервацију и планирање коришћења спортске инфраструктуре.</w:t>
            </w:r>
          </w:p>
          <w:p w14:paraId="0411A139">
            <w:pPr>
              <w:spacing w:after="0" w:line="240" w:lineRule="auto"/>
              <w:rPr>
                <w:rFonts w:ascii="Times New Roman" w:hAnsi="Times New Roman" w:cs="Times New Roman"/>
                <w:sz w:val="22"/>
                <w:szCs w:val="22"/>
                <w:lang w:val="sr-Cyrl-RS"/>
              </w:rPr>
            </w:pPr>
          </w:p>
          <w:p w14:paraId="3362C26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успостављање јединствене базе података о свим спортским објектима на територији града, укључујући спортске хале, терене, игралишта и друге спортске просторе, као и увођење система за дигитално резервисање термина и планирање активности. У оквиру мере предвиђено је и успостављање дигиталног календара спортских догађаја који омогућава грађанима и спортским организацијама лак приступ информацијама о доступности спортских објеката и догађајима.</w:t>
            </w:r>
          </w:p>
        </w:tc>
      </w:tr>
      <w:tr w14:paraId="7F9A2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0003ED49">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5.3.1:</w:t>
            </w:r>
          </w:p>
          <w:p w14:paraId="31B2AF0F">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Анализа постојећег стања спортске инфраструктуре и начина управљања спортским објектима.</w:t>
            </w:r>
          </w:p>
          <w:p w14:paraId="2EF2AC5E">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Евидентирање и мапирање свих спортских објеката на територији града.</w:t>
            </w:r>
          </w:p>
          <w:p w14:paraId="2ECB5240">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базе података о спортским објектима и њиховим капацитетима.</w:t>
            </w:r>
          </w:p>
          <w:p w14:paraId="491F3701">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Увођење система за дигитално резервисање спортских термина.</w:t>
            </w:r>
          </w:p>
          <w:p w14:paraId="4D8E0A13">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дигиталног календара спортских догађаја.</w:t>
            </w:r>
          </w:p>
          <w:p w14:paraId="5D2561DA">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Повезивање система са веб презентацијом града и спортских установа.</w:t>
            </w:r>
          </w:p>
          <w:p w14:paraId="7E27D80F">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Обука запослених за коришћење дигиталног система.</w:t>
            </w:r>
          </w:p>
          <w:p w14:paraId="5998BEEB">
            <w:pPr>
              <w:pStyle w:val="39"/>
              <w:numPr>
                <w:ilvl w:val="0"/>
                <w:numId w:val="73"/>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Информисање грађана и спортских организација о коришћењу система.</w:t>
            </w:r>
          </w:p>
          <w:p w14:paraId="53E126CB">
            <w:pPr>
              <w:pStyle w:val="39"/>
              <w:numPr>
                <w:ilvl w:val="0"/>
                <w:numId w:val="73"/>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Праћење коришћења спортских објеката и унапређење управљања ресурсима.</w:t>
            </w:r>
          </w:p>
        </w:tc>
      </w:tr>
      <w:tr w14:paraId="2B380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832AD8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Процењена вредност:  25.000 ЕУР </w:t>
            </w:r>
          </w:p>
        </w:tc>
      </w:tr>
      <w:tr w14:paraId="0FDAE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FE0D868">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Извори финансирања: Буџет Града Пирота, Министарство спорта, национални програми развоја спорта, донаторски програми, EU фондови.</w:t>
            </w:r>
          </w:p>
        </w:tc>
      </w:tr>
      <w:tr w14:paraId="75EE1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AE09CD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Носилац реализације: </w:t>
            </w:r>
            <w:r>
              <w:rPr>
                <w:rFonts w:ascii="Times New Roman" w:hAnsi="Times New Roman" w:cs="Times New Roman"/>
                <w:bCs/>
                <w:sz w:val="22"/>
                <w:szCs w:val="22"/>
                <w:lang w:val="sr-Cyrl-RS"/>
              </w:rPr>
              <w:t>Град Пирот, установа надлежна за управљање спортским објектима</w:t>
            </w:r>
          </w:p>
        </w:tc>
      </w:tr>
      <w:tr w14:paraId="544B9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9D6E63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w:t>
            </w:r>
            <w:r>
              <w:rPr>
                <w:rFonts w:ascii="Times New Roman" w:hAnsi="Times New Roman" w:cs="Times New Roman"/>
                <w:bCs/>
                <w:sz w:val="22"/>
                <w:szCs w:val="22"/>
                <w:lang w:val="sr-Cyrl-RS"/>
              </w:rPr>
              <w:t xml:space="preserve"> Спортске организације и клубови, установе у области спорта, ИТ компаније, образовне институције, организације цивилног друштва.</w:t>
            </w:r>
          </w:p>
        </w:tc>
      </w:tr>
      <w:tr w14:paraId="7637C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3D6102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w:t>
            </w:r>
            <w:r>
              <w:rPr>
                <w:rFonts w:ascii="Times New Roman" w:hAnsi="Times New Roman" w:cs="Times New Roman"/>
                <w:bCs/>
                <w:sz w:val="22"/>
                <w:szCs w:val="22"/>
                <w:lang w:val="sr-Cyrl-RS"/>
              </w:rPr>
              <w:t>Спортски клубови, спортисти, рекреативци, деца и млади, грађани, локална самоуправа.</w:t>
            </w:r>
          </w:p>
        </w:tc>
      </w:tr>
      <w:tr w14:paraId="3E984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4FE65E8">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успостављање базе података о спортским објектима, 2027 – увођење система за резервацију и календар догађаја, 2028–2030 – унапређење система и праћење коришћења спортских објеката.</w:t>
            </w:r>
          </w:p>
        </w:tc>
      </w:tr>
      <w:tr w14:paraId="3A995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379716F">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1501918F">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успостављена база података о спортским објектима</w:t>
            </w:r>
          </w:p>
          <w:p w14:paraId="7839D384">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евидентираних спортских објеката</w:t>
            </w:r>
          </w:p>
          <w:p w14:paraId="5D747479">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 систем за дигитално резервисање термина</w:t>
            </w:r>
          </w:p>
          <w:p w14:paraId="57A53A2B">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корисника система</w:t>
            </w:r>
          </w:p>
          <w:p w14:paraId="78B57941">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резервисаних термина путем система</w:t>
            </w:r>
          </w:p>
          <w:p w14:paraId="64F9B98F">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објављених спортских догађаја</w:t>
            </w:r>
          </w:p>
          <w:p w14:paraId="5B508208">
            <w:pPr>
              <w:numPr>
                <w:ilvl w:val="0"/>
                <w:numId w:val="67"/>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ниво задовољства корисника услугама</w:t>
            </w:r>
          </w:p>
        </w:tc>
      </w:tr>
    </w:tbl>
    <w:p w14:paraId="281E9DD3">
      <w:pPr>
        <w:spacing w:after="0" w:line="240" w:lineRule="auto"/>
        <w:rPr>
          <w:sz w:val="22"/>
          <w:szCs w:val="22"/>
          <w:lang w:val="sr-Cyrl-RS"/>
        </w:rPr>
      </w:pPr>
    </w:p>
    <w:p w14:paraId="399969BD">
      <w:pPr>
        <w:spacing w:after="0" w:line="240" w:lineRule="auto"/>
        <w:rPr>
          <w:sz w:val="22"/>
          <w:szCs w:val="22"/>
          <w:lang w:val="sr-Cyrl-RS"/>
        </w:rPr>
      </w:pPr>
    </w:p>
    <w:p w14:paraId="4D7A5971">
      <w:pPr>
        <w:rPr>
          <w:sz w:val="22"/>
          <w:szCs w:val="22"/>
          <w:lang w:val="sr-Cyrl-RS"/>
        </w:rPr>
      </w:pPr>
      <w:r>
        <w:rPr>
          <w:sz w:val="22"/>
          <w:szCs w:val="22"/>
          <w:lang w:val="sr-Cyrl-RS"/>
        </w:rPr>
        <w:br w:type="page"/>
      </w:r>
    </w:p>
    <w:p w14:paraId="56524C09">
      <w:pPr>
        <w:spacing w:after="0" w:line="240" w:lineRule="auto"/>
        <w:rPr>
          <w:sz w:val="22"/>
          <w:szCs w:val="22"/>
          <w:lang w:val="sr-Cyrl-RS"/>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14:paraId="70B1E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9C61F76">
            <w:pPr>
              <w:spacing w:after="0" w:line="240" w:lineRule="auto"/>
              <w:rPr>
                <w:rFonts w:ascii="Times New Roman" w:hAnsi="Times New Roman" w:cs="Times New Roman"/>
                <w:sz w:val="22"/>
                <w:szCs w:val="22"/>
                <w:lang w:val="sr-Cyrl-RS"/>
              </w:rPr>
            </w:pPr>
            <w:r>
              <w:rPr>
                <w:rFonts w:ascii="Times New Roman" w:hAnsi="Times New Roman" w:cs="Times New Roman"/>
                <w:b/>
                <w:bCs/>
                <w:sz w:val="22"/>
                <w:szCs w:val="22"/>
                <w:lang w:val="sr-Cyrl-RS"/>
              </w:rPr>
              <w:t>Приоритетни циљ (број/опис):</w:t>
            </w:r>
            <w:r>
              <w:rPr>
                <w:rFonts w:ascii="Times New Roman" w:hAnsi="Times New Roman" w:cs="Times New Roman"/>
                <w:sz w:val="22"/>
                <w:szCs w:val="22"/>
                <w:lang w:val="sr-Cyrl-RS"/>
              </w:rPr>
              <w:t xml:space="preserve"> </w:t>
            </w:r>
            <w:r>
              <w:rPr>
                <w:rFonts w:ascii="Times New Roman" w:hAnsi="Times New Roman" w:eastAsia="Times New Roman" w:cs="Times New Roman"/>
                <w:b/>
                <w:color w:val="000000" w:themeColor="text1"/>
                <w:kern w:val="0"/>
                <w:sz w:val="22"/>
                <w:szCs w:val="22"/>
                <w:lang w:val="sr-Cyrl-RS" w:eastAsia="en-GB"/>
                <w14:textFill>
                  <w14:solidFill>
                    <w14:schemeClr w14:val="tx1"/>
                  </w14:solidFill>
                </w14:textFill>
              </w:rPr>
              <w:t>5.3 Дигитална трансформација у области културе и спорта</w:t>
            </w:r>
          </w:p>
        </w:tc>
      </w:tr>
      <w:tr w14:paraId="46948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7356089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Мера/Пројекат (број/опис): 5.3.2 Дигитално управљање објектима културе </w:t>
            </w:r>
          </w:p>
        </w:tc>
      </w:tr>
      <w:tr w14:paraId="59412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AD0DC6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управљања објектима културе и културним програмима кроз увођење дигиталних алата за евиденцију, планирање и коришћење простора, као и за информисање грађана о културним догађајима.</w:t>
            </w:r>
          </w:p>
          <w:p w14:paraId="49A441C5">
            <w:pPr>
              <w:spacing w:after="0" w:line="240" w:lineRule="auto"/>
              <w:rPr>
                <w:rFonts w:ascii="Times New Roman" w:hAnsi="Times New Roman" w:cs="Times New Roman"/>
                <w:sz w:val="22"/>
                <w:szCs w:val="22"/>
                <w:lang w:val="sr-Cyrl-RS"/>
              </w:rPr>
            </w:pPr>
          </w:p>
          <w:p w14:paraId="3D7C010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успостављање јединствене базе података о свим објектима културе на територији града, укључујући домове културе, сале, музеје, библиотеке и друге културне просторе, као и увођење система за дигитално резервисање сала и организацију културних активности. У оквиру мере предвиђено је и успостављање дигиталног календара културних догађаја и система за продају улазница (билетарница), што омогућава лакши приступ културним садржајима и већу транспарентност у управљању ресурсима.</w:t>
            </w:r>
          </w:p>
        </w:tc>
      </w:tr>
      <w:tr w14:paraId="1ECD5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016" w:type="dxa"/>
          </w:tcPr>
          <w:p w14:paraId="342C27C1">
            <w:pPr>
              <w:spacing w:after="0" w:line="240" w:lineRule="auto"/>
              <w:rPr>
                <w:rFonts w:ascii="Times New Roman" w:hAnsi="Times New Roman" w:cs="Times New Roman"/>
                <w:bCs/>
                <w:sz w:val="22"/>
                <w:szCs w:val="22"/>
                <w:lang w:val="sr-Cyrl-RS"/>
              </w:rPr>
            </w:pPr>
            <w:r>
              <w:rPr>
                <w:rFonts w:ascii="Times New Roman" w:hAnsi="Times New Roman" w:cs="Times New Roman"/>
                <w:b/>
                <w:bCs/>
                <w:sz w:val="22"/>
                <w:szCs w:val="22"/>
                <w:lang w:val="sr-Cyrl-RS"/>
              </w:rPr>
              <w:t>Активности 5.3.2:</w:t>
            </w:r>
          </w:p>
          <w:p w14:paraId="1CFDD635">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Анализа постојећег стања управљања објектима културе и начина резервације простора.</w:t>
            </w:r>
          </w:p>
          <w:p w14:paraId="510F607B">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Евидентирање и мапирање свих објеката културе на територији града.</w:t>
            </w:r>
          </w:p>
          <w:p w14:paraId="55F5357C">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базе података о објектима културе и њиховим капацитетима.</w:t>
            </w:r>
          </w:p>
          <w:p w14:paraId="3B11B7FB">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Увођење система за дигитално резервисање сала и других простора за културне активности.</w:t>
            </w:r>
          </w:p>
          <w:p w14:paraId="31CBDB2C">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Успостављање дигиталног календара културних догађаја.</w:t>
            </w:r>
          </w:p>
          <w:p w14:paraId="74A3E94B">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Увођење система за продају улазница и управљање посетама (дигитална билетарница).</w:t>
            </w:r>
          </w:p>
          <w:p w14:paraId="4F39D8EF">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Повезивање система са веб презентацијом града и установа културе.</w:t>
            </w:r>
          </w:p>
          <w:p w14:paraId="794417DF">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Обука запослених за коришћење дигиталног система.</w:t>
            </w:r>
          </w:p>
          <w:p w14:paraId="4454B80D">
            <w:pPr>
              <w:pStyle w:val="39"/>
              <w:numPr>
                <w:ilvl w:val="0"/>
                <w:numId w:val="74"/>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Информисање грађана о доступности културних програма и услуга.</w:t>
            </w:r>
          </w:p>
          <w:p w14:paraId="0125B640">
            <w:pPr>
              <w:pStyle w:val="39"/>
              <w:numPr>
                <w:ilvl w:val="0"/>
                <w:numId w:val="74"/>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Праћење коришћења простора и унапређење управљања културним ресурсима.</w:t>
            </w:r>
          </w:p>
        </w:tc>
      </w:tr>
      <w:tr w14:paraId="3183E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473AB02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Процењена вредност:  30.000 ЕУР </w:t>
            </w:r>
          </w:p>
        </w:tc>
      </w:tr>
      <w:tr w14:paraId="596BC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2D455F75">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Извори финансирања: Буџет Града Пирота, Министарство културе, национални програми дигитализације културе, донаторски програми, EU фондови.</w:t>
            </w:r>
          </w:p>
        </w:tc>
      </w:tr>
      <w:tr w14:paraId="520D8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174520F1">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Носилац реализације: Г</w:t>
            </w:r>
            <w:r>
              <w:rPr>
                <w:rFonts w:ascii="Times New Roman" w:hAnsi="Times New Roman" w:cs="Times New Roman"/>
                <w:bCs/>
                <w:sz w:val="22"/>
                <w:szCs w:val="22"/>
                <w:lang w:val="sr-Cyrl-RS"/>
              </w:rPr>
              <w:t>рад Пирот, установа надлежна за управљање објектима културе</w:t>
            </w:r>
          </w:p>
        </w:tc>
      </w:tr>
      <w:tr w14:paraId="5CC3C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6B454DB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Партнери у реализацији:</w:t>
            </w:r>
            <w:r>
              <w:rPr>
                <w:rFonts w:ascii="Times New Roman" w:hAnsi="Times New Roman" w:cs="Times New Roman"/>
                <w:bCs/>
                <w:sz w:val="22"/>
                <w:szCs w:val="22"/>
                <w:lang w:val="sr-Cyrl-RS"/>
              </w:rPr>
              <w:t xml:space="preserve"> Грађани, уметници, културне организације, ученици, туристи, посетиоци града, локална самоуправа.</w:t>
            </w:r>
          </w:p>
        </w:tc>
      </w:tr>
      <w:tr w14:paraId="396A1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5D7A570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Циљне групе/корисници: </w:t>
            </w:r>
            <w:r>
              <w:rPr>
                <w:rFonts w:ascii="Times New Roman" w:hAnsi="Times New Roman" w:cs="Times New Roman"/>
                <w:bCs/>
                <w:sz w:val="22"/>
                <w:szCs w:val="22"/>
                <w:lang w:val="sr-Cyrl-RS"/>
              </w:rPr>
              <w:t>Спортски клубови, спортисти, рекреативци, деца и млади, грађани, локална самоуправа.</w:t>
            </w:r>
          </w:p>
        </w:tc>
      </w:tr>
      <w:tr w14:paraId="09633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5EABD0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Рок за реализацију: 2026 – анализа стања и успостављање базе података о објектима културе, 2027 – увођење система за резервацију и календар догађаја, 2028–2030 – унапређење система и праћење коришћења објеката културе.</w:t>
            </w:r>
          </w:p>
        </w:tc>
      </w:tr>
      <w:tr w14:paraId="5842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Pr>
          <w:p w14:paraId="3E0275D1">
            <w:pPr>
              <w:spacing w:after="0" w:line="240" w:lineRule="auto"/>
              <w:rPr>
                <w:rFonts w:ascii="Times New Roman" w:hAnsi="Times New Roman" w:cs="Times New Roman"/>
                <w:bCs/>
                <w:sz w:val="22"/>
                <w:szCs w:val="22"/>
                <w:lang w:val="sr-Cyrl-RS"/>
              </w:rPr>
            </w:pPr>
            <w:r>
              <w:rPr>
                <w:rFonts w:ascii="Times New Roman" w:hAnsi="Times New Roman" w:cs="Times New Roman"/>
                <w:sz w:val="22"/>
                <w:szCs w:val="22"/>
                <w:lang w:val="sr-Cyrl-RS"/>
              </w:rPr>
              <w:t xml:space="preserve">Показатељи: </w:t>
            </w:r>
          </w:p>
          <w:p w14:paraId="7F6EAEA2">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успостављена база података о објектима културе</w:t>
            </w:r>
          </w:p>
          <w:p w14:paraId="542E89A4">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евидентираних објеката културе</w:t>
            </w:r>
          </w:p>
          <w:p w14:paraId="18633E1C">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 систем за дигитално резервисање простора</w:t>
            </w:r>
          </w:p>
          <w:p w14:paraId="3252705F">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корисника система</w:t>
            </w:r>
          </w:p>
          <w:p w14:paraId="1FADA8D5">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организованих културних догађаја</w:t>
            </w:r>
          </w:p>
          <w:p w14:paraId="6432AF52">
            <w:pPr>
              <w:numPr>
                <w:ilvl w:val="0"/>
                <w:numId w:val="67"/>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продатих улазница путем дигиталног система</w:t>
            </w:r>
          </w:p>
          <w:p w14:paraId="077CC29F">
            <w:pPr>
              <w:numPr>
                <w:ilvl w:val="0"/>
                <w:numId w:val="67"/>
              </w:numPr>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ниво задовољства корисника услугама</w:t>
            </w:r>
          </w:p>
        </w:tc>
      </w:tr>
    </w:tbl>
    <w:p w14:paraId="1CB5FCCB">
      <w:pPr>
        <w:spacing w:after="0" w:line="240" w:lineRule="auto"/>
        <w:rPr>
          <w:sz w:val="22"/>
          <w:szCs w:val="22"/>
          <w:lang w:val="sr-Cyrl-RS"/>
        </w:rPr>
      </w:pPr>
    </w:p>
    <w:p w14:paraId="0CAFB531">
      <w:pPr>
        <w:spacing w:after="0" w:line="240" w:lineRule="auto"/>
        <w:rPr>
          <w:sz w:val="22"/>
          <w:szCs w:val="22"/>
          <w:lang w:val="sr-Cyrl-RS"/>
        </w:rPr>
      </w:pPr>
    </w:p>
    <w:p w14:paraId="4BC6CA2E">
      <w:pPr>
        <w:spacing w:after="0" w:line="240" w:lineRule="auto"/>
        <w:rPr>
          <w:rFonts w:ascii="Times New Roman" w:hAnsi="Times New Roman" w:cs="Times New Roman"/>
          <w:sz w:val="22"/>
          <w:szCs w:val="22"/>
          <w:lang w:val="sr-Cyrl-RS"/>
        </w:rPr>
      </w:pPr>
    </w:p>
    <w:p w14:paraId="24471517">
      <w:pPr>
        <w:rPr>
          <w:rFonts w:ascii="Times New Roman" w:hAnsi="Times New Roman" w:cs="Times New Roman"/>
          <w:sz w:val="22"/>
          <w:szCs w:val="22"/>
          <w:lang w:val="sr-Cyrl-RS"/>
        </w:rPr>
      </w:pPr>
      <w:r>
        <w:rPr>
          <w:rFonts w:ascii="Times New Roman" w:hAnsi="Times New Roman" w:cs="Times New Roman"/>
          <w:sz w:val="22"/>
          <w:szCs w:val="22"/>
          <w:lang w:val="sr-Cyrl-RS"/>
        </w:rPr>
        <w:br w:type="page"/>
      </w:r>
    </w:p>
    <w:p w14:paraId="6AA87C6B">
      <w:pPr>
        <w:rPr>
          <w:rFonts w:cs="Times New Roman"/>
          <w:b/>
          <w:bCs/>
          <w:sz w:val="22"/>
          <w:szCs w:val="22"/>
          <w:lang w:val="sr-Cyrl-RS"/>
        </w:rPr>
      </w:pPr>
      <w:r>
        <w:rPr>
          <w:rFonts w:cs="Times New Roman"/>
          <w:b/>
          <w:bCs/>
          <w:sz w:val="22"/>
          <w:szCs w:val="22"/>
          <w:lang w:val="sr-Cyrl-RS"/>
        </w:rPr>
        <w:t>Приоритетна област 6: Паметна управа и е-управљање</w:t>
      </w:r>
    </w:p>
    <w:p w14:paraId="7BD7FB9C">
      <w:pPr>
        <w:spacing w:after="0" w:line="240" w:lineRule="auto"/>
        <w:rPr>
          <w:rFonts w:ascii="Times New Roman" w:hAnsi="Times New Roman" w:cs="Times New Roman"/>
          <w:sz w:val="22"/>
          <w:szCs w:val="22"/>
          <w:lang w:val="sr-Cyrl-RS"/>
        </w:rPr>
      </w:pPr>
    </w:p>
    <w:tbl>
      <w:tblPr>
        <w:tblStyle w:val="12"/>
        <w:tblW w:w="9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5"/>
      </w:tblGrid>
      <w:tr w14:paraId="76D2E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600C6AE">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6.1 Ефикасне и транспарентне е – услуге за грађане и привреду</w:t>
            </w:r>
          </w:p>
        </w:tc>
      </w:tr>
      <w:tr w14:paraId="56D78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49A1755">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767DE56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6.1.1 Унапређење капацитета запослених за рад у окружењу еУправе</w:t>
            </w:r>
          </w:p>
        </w:tc>
      </w:tr>
      <w:tr w14:paraId="359DA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2558586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494512A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система обука ради унапређења дигиталних компетенција запослених за рад у систему еУправе. Мера обухвата спровођење анализе процене дигиталне писмености запослених, спровођење обука и упостављање механизма за праћење ефеката спроведених обука.</w:t>
            </w:r>
          </w:p>
          <w:p w14:paraId="79EA892E">
            <w:pPr>
              <w:spacing w:after="0" w:line="240" w:lineRule="auto"/>
              <w:rPr>
                <w:rFonts w:ascii="Times New Roman" w:hAnsi="Times New Roman" w:cs="Times New Roman"/>
                <w:sz w:val="22"/>
                <w:szCs w:val="22"/>
                <w:lang w:val="sr-Cyrl-RS"/>
              </w:rPr>
            </w:pPr>
          </w:p>
        </w:tc>
      </w:tr>
      <w:tr w14:paraId="6E630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535" w:type="dxa"/>
          </w:tcPr>
          <w:p w14:paraId="7B13B89E">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6.1.1.</w:t>
            </w:r>
          </w:p>
          <w:p w14:paraId="3E9E87ED">
            <w:pPr>
              <w:spacing w:after="0" w:line="240" w:lineRule="auto"/>
              <w:rPr>
                <w:rFonts w:ascii="Times New Roman" w:hAnsi="Times New Roman" w:cs="Times New Roman"/>
                <w:sz w:val="22"/>
                <w:szCs w:val="22"/>
                <w:lang w:val="sr-Cyrl-RS"/>
              </w:rPr>
            </w:pPr>
          </w:p>
          <w:p w14:paraId="62D152C2">
            <w:pPr>
              <w:pStyle w:val="39"/>
              <w:spacing w:after="0" w:line="240" w:lineRule="auto"/>
              <w:contextualSpacing w:val="0"/>
              <w:rPr>
                <w:rFonts w:ascii="Times New Roman" w:hAnsi="Times New Roman" w:cs="Times New Roman"/>
                <w:sz w:val="22"/>
                <w:szCs w:val="22"/>
                <w:lang w:val="sr-Cyrl-RS"/>
              </w:rPr>
            </w:pPr>
            <w:r>
              <w:rPr>
                <w:rFonts w:ascii="Times New Roman" w:hAnsi="Times New Roman" w:cs="Times New Roman"/>
                <w:sz w:val="22"/>
                <w:szCs w:val="22"/>
                <w:lang w:val="sr-Cyrl-RS"/>
              </w:rPr>
              <w:t>1.Анализа тренутног стања дигиталних компетенција за рад запослених у систему еУправе</w:t>
            </w:r>
          </w:p>
          <w:p w14:paraId="1360B725">
            <w:pPr>
              <w:pStyle w:val="39"/>
              <w:spacing w:after="0" w:line="240" w:lineRule="auto"/>
              <w:contextualSpacing w:val="0"/>
              <w:rPr>
                <w:rFonts w:ascii="Times New Roman" w:hAnsi="Times New Roman" w:cs="Times New Roman"/>
                <w:sz w:val="22"/>
                <w:szCs w:val="22"/>
                <w:lang w:val="sr-Cyrl-RS"/>
              </w:rPr>
            </w:pPr>
            <w:r>
              <w:rPr>
                <w:rFonts w:ascii="Times New Roman" w:hAnsi="Times New Roman" w:cs="Times New Roman"/>
                <w:sz w:val="22"/>
                <w:szCs w:val="22"/>
                <w:lang w:val="sr-Cyrl-RS"/>
              </w:rPr>
              <w:t>2. Израда програма обука запослених у области дигиталне писмености</w:t>
            </w:r>
          </w:p>
          <w:p w14:paraId="005EB1AE">
            <w:pPr>
              <w:pStyle w:val="39"/>
              <w:spacing w:after="0" w:line="240" w:lineRule="auto"/>
              <w:contextualSpacing w:val="0"/>
              <w:rPr>
                <w:rFonts w:ascii="Times New Roman" w:hAnsi="Times New Roman" w:cs="Times New Roman"/>
                <w:sz w:val="22"/>
                <w:szCs w:val="22"/>
                <w:lang w:val="sr-Cyrl-RS"/>
              </w:rPr>
            </w:pPr>
            <w:r>
              <w:rPr>
                <w:rFonts w:ascii="Times New Roman" w:hAnsi="Times New Roman" w:cs="Times New Roman"/>
                <w:sz w:val="22"/>
                <w:szCs w:val="22"/>
                <w:lang w:val="sr-Cyrl-RS"/>
              </w:rPr>
              <w:t>3. Спровођење обука дигиталне писмености запослених</w:t>
            </w:r>
          </w:p>
          <w:p w14:paraId="4BD30C45">
            <w:pPr>
              <w:pStyle w:val="39"/>
              <w:spacing w:after="0" w:line="240" w:lineRule="auto"/>
              <w:contextualSpacing w:val="0"/>
              <w:rPr>
                <w:rFonts w:ascii="Times New Roman" w:hAnsi="Times New Roman" w:cs="Times New Roman"/>
                <w:sz w:val="22"/>
                <w:szCs w:val="22"/>
                <w:lang w:val="sr-Cyrl-RS"/>
              </w:rPr>
            </w:pPr>
            <w:r>
              <w:rPr>
                <w:rFonts w:ascii="Times New Roman" w:hAnsi="Times New Roman" w:cs="Times New Roman"/>
                <w:sz w:val="22"/>
                <w:szCs w:val="22"/>
                <w:lang w:val="sr-Cyrl-RS"/>
              </w:rPr>
              <w:t>4. Припрема и реализација посебних програма стручног усавршавања у области дигиталне трансформације, раду у електронском окружењу и примени дигиталних решења</w:t>
            </w:r>
          </w:p>
          <w:p w14:paraId="7A8A8569">
            <w:pPr>
              <w:pStyle w:val="39"/>
              <w:spacing w:after="0" w:line="240" w:lineRule="auto"/>
              <w:contextualSpacing w:val="0"/>
              <w:rPr>
                <w:rFonts w:ascii="Times New Roman" w:hAnsi="Times New Roman" w:cs="Times New Roman"/>
                <w:sz w:val="22"/>
                <w:szCs w:val="22"/>
                <w:lang w:val="sr-Cyrl-RS"/>
              </w:rPr>
            </w:pPr>
            <w:r>
              <w:rPr>
                <w:rFonts w:ascii="Times New Roman" w:hAnsi="Times New Roman" w:cs="Times New Roman"/>
                <w:sz w:val="22"/>
                <w:szCs w:val="22"/>
                <w:lang w:val="sr-Cyrl-RS"/>
              </w:rPr>
              <w:t xml:space="preserve">5. Успостављање механизма праћења ефеката спроведених обука </w:t>
            </w:r>
          </w:p>
          <w:p w14:paraId="2F2D0D46">
            <w:pPr>
              <w:spacing w:after="0" w:line="240" w:lineRule="auto"/>
              <w:rPr>
                <w:rFonts w:ascii="Times New Roman" w:hAnsi="Times New Roman" w:cs="Times New Roman"/>
                <w:sz w:val="22"/>
                <w:szCs w:val="22"/>
                <w:lang w:val="sr-Cyrl-RS"/>
              </w:rPr>
            </w:pPr>
          </w:p>
        </w:tc>
      </w:tr>
      <w:tr w14:paraId="7A178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6735129A">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Процењена вредност:  ______________ЕУР ( период 2026-2030) у зависности од броја обука и броја запослених</w:t>
            </w:r>
          </w:p>
        </w:tc>
      </w:tr>
      <w:tr w14:paraId="6CC4E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74188C22">
            <w:pPr>
              <w:spacing w:after="0" w:line="240" w:lineRule="auto"/>
              <w:rPr>
                <w:rFonts w:ascii="Times New Roman" w:hAnsi="Times New Roman" w:eastAsia="NSimSun" w:cs="Times New Roman"/>
                <w:sz w:val="22"/>
                <w:szCs w:val="22"/>
                <w:lang w:val="sr-Cyrl-RS" w:eastAsia="zh-CN" w:bidi="hi-IN"/>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tc>
      </w:tr>
      <w:tr w14:paraId="222B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9A4CBD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w:t>
            </w:r>
          </w:p>
        </w:tc>
      </w:tr>
      <w:tr w14:paraId="5F799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0B05256E">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НАЈА, Акредитовани реализатори</w:t>
            </w:r>
          </w:p>
        </w:tc>
      </w:tr>
      <w:tr w14:paraId="7D7B5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6FE8684">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Запослени у Градској управи</w:t>
            </w:r>
          </w:p>
        </w:tc>
      </w:tr>
      <w:tr w14:paraId="7960E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7F2F6AB9">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591E4599">
            <w:pPr>
              <w:spacing w:after="0" w:line="240" w:lineRule="auto"/>
              <w:rPr>
                <w:rFonts w:ascii="Times New Roman" w:hAnsi="Times New Roman" w:eastAsia="Calibri" w:cs="Times New Roman"/>
                <w:sz w:val="22"/>
                <w:szCs w:val="22"/>
                <w:lang w:val="sr-Cyrl-RS"/>
              </w:rPr>
            </w:pPr>
          </w:p>
        </w:tc>
      </w:tr>
      <w:tr w14:paraId="3DB5B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62FD85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448A7245">
            <w:pPr>
              <w:widowControl w:val="0"/>
              <w:numPr>
                <w:ilvl w:val="0"/>
                <w:numId w:val="7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одржаних обука</w:t>
            </w:r>
          </w:p>
          <w:p w14:paraId="0E4E888D">
            <w:pPr>
              <w:widowControl w:val="0"/>
              <w:numPr>
                <w:ilvl w:val="0"/>
                <w:numId w:val="75"/>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Број обучених запослених</w:t>
            </w:r>
          </w:p>
          <w:p w14:paraId="75D947A3">
            <w:pPr>
              <w:widowControl w:val="0"/>
              <w:numPr>
                <w:ilvl w:val="0"/>
                <w:numId w:val="75"/>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Број специјализованих ускостручних обука одржаних по годинама</w:t>
            </w:r>
          </w:p>
          <w:p w14:paraId="2B9E1DD2">
            <w:pPr>
              <w:spacing w:after="0" w:line="240" w:lineRule="auto"/>
              <w:rPr>
                <w:rFonts w:ascii="Times New Roman" w:hAnsi="Times New Roman" w:cs="Times New Roman"/>
                <w:bCs/>
                <w:sz w:val="22"/>
                <w:szCs w:val="22"/>
                <w:lang w:val="sr-Cyrl-RS"/>
              </w:rPr>
            </w:pPr>
          </w:p>
          <w:p w14:paraId="6BEAC074">
            <w:pPr>
              <w:spacing w:after="0" w:line="240" w:lineRule="auto"/>
              <w:rPr>
                <w:rFonts w:ascii="Times New Roman" w:hAnsi="Times New Roman" w:cs="Times New Roman"/>
                <w:bCs/>
                <w:sz w:val="22"/>
                <w:szCs w:val="22"/>
                <w:lang w:val="sr-Cyrl-RS"/>
              </w:rPr>
            </w:pPr>
          </w:p>
          <w:p w14:paraId="27E600B4">
            <w:pPr>
              <w:spacing w:after="0" w:line="240" w:lineRule="auto"/>
              <w:rPr>
                <w:rFonts w:ascii="Times New Roman" w:hAnsi="Times New Roman" w:cs="Times New Roman"/>
                <w:sz w:val="22"/>
                <w:szCs w:val="22"/>
                <w:lang w:val="sr-Cyrl-RS"/>
              </w:rPr>
            </w:pPr>
          </w:p>
        </w:tc>
      </w:tr>
    </w:tbl>
    <w:p w14:paraId="7F0E82CC">
      <w:pPr>
        <w:spacing w:after="0" w:line="240" w:lineRule="auto"/>
        <w:rPr>
          <w:rFonts w:ascii="Times New Roman" w:hAnsi="Times New Roman" w:cs="Times New Roman"/>
          <w:sz w:val="22"/>
          <w:szCs w:val="22"/>
          <w:lang w:val="sr-Cyrl-RS"/>
        </w:rPr>
      </w:pPr>
    </w:p>
    <w:p w14:paraId="6ABCD00E">
      <w:pPr>
        <w:spacing w:after="0" w:line="240" w:lineRule="auto"/>
        <w:rPr>
          <w:rFonts w:ascii="Times New Roman" w:hAnsi="Times New Roman" w:cs="Times New Roman"/>
          <w:sz w:val="22"/>
          <w:szCs w:val="22"/>
          <w:lang w:val="sr-Cyrl-RS"/>
        </w:rPr>
      </w:pPr>
    </w:p>
    <w:p w14:paraId="6886A457">
      <w:pPr>
        <w:spacing w:after="0" w:line="240" w:lineRule="auto"/>
        <w:rPr>
          <w:rFonts w:ascii="Times New Roman" w:hAnsi="Times New Roman" w:cs="Times New Roman"/>
          <w:sz w:val="22"/>
          <w:szCs w:val="22"/>
          <w:lang w:val="sr-Cyrl-RS"/>
        </w:rPr>
      </w:pPr>
    </w:p>
    <w:p w14:paraId="105B9618">
      <w:pPr>
        <w:spacing w:after="0" w:line="240" w:lineRule="auto"/>
        <w:rPr>
          <w:rFonts w:ascii="Times New Roman" w:hAnsi="Times New Roman" w:cs="Times New Roman"/>
          <w:sz w:val="22"/>
          <w:szCs w:val="22"/>
          <w:lang w:val="sr-Cyrl-RS"/>
        </w:rPr>
      </w:pPr>
    </w:p>
    <w:p w14:paraId="2499CD32">
      <w:pPr>
        <w:spacing w:after="0" w:line="240" w:lineRule="auto"/>
        <w:rPr>
          <w:rFonts w:ascii="Times New Roman" w:hAnsi="Times New Roman" w:cs="Times New Roman"/>
          <w:sz w:val="22"/>
          <w:szCs w:val="22"/>
          <w:lang w:val="sr-Cyrl-RS"/>
        </w:rPr>
      </w:pPr>
    </w:p>
    <w:p w14:paraId="3B61ACAA">
      <w:pPr>
        <w:spacing w:after="0" w:line="240" w:lineRule="auto"/>
        <w:rPr>
          <w:rFonts w:ascii="Times New Roman" w:hAnsi="Times New Roman" w:cs="Times New Roman"/>
          <w:sz w:val="22"/>
          <w:szCs w:val="22"/>
          <w:lang w:val="sr-Cyrl-RS"/>
        </w:rPr>
      </w:pPr>
    </w:p>
    <w:p w14:paraId="2D29C3C2">
      <w:pPr>
        <w:spacing w:after="0" w:line="240" w:lineRule="auto"/>
        <w:rPr>
          <w:rFonts w:ascii="Times New Roman" w:hAnsi="Times New Roman" w:cs="Times New Roman"/>
          <w:sz w:val="22"/>
          <w:szCs w:val="22"/>
          <w:lang w:val="sr-Cyrl-RS"/>
        </w:rPr>
      </w:pPr>
    </w:p>
    <w:p w14:paraId="3647C6B0">
      <w:pPr>
        <w:spacing w:after="0" w:line="240" w:lineRule="auto"/>
        <w:rPr>
          <w:rFonts w:ascii="Times New Roman" w:hAnsi="Times New Roman" w:cs="Times New Roman"/>
          <w:sz w:val="22"/>
          <w:szCs w:val="22"/>
          <w:lang w:val="sr-Cyrl-RS"/>
        </w:rPr>
      </w:pPr>
    </w:p>
    <w:p w14:paraId="7A9E2646">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5"/>
      </w:tblGrid>
      <w:tr w14:paraId="39CFD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2586D75">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6.1 Ефикасне и транспарентне е – услуге за грађане и привреду</w:t>
            </w:r>
          </w:p>
          <w:p w14:paraId="256BF62D">
            <w:pPr>
              <w:spacing w:after="0" w:line="240" w:lineRule="auto"/>
              <w:rPr>
                <w:rFonts w:ascii="Times New Roman" w:hAnsi="Times New Roman" w:eastAsia="Calibri" w:cs="Times New Roman"/>
                <w:sz w:val="22"/>
                <w:szCs w:val="22"/>
                <w:lang w:val="sr-Cyrl-RS"/>
              </w:rPr>
            </w:pPr>
          </w:p>
        </w:tc>
      </w:tr>
      <w:tr w14:paraId="2D42D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75DA5282">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539C465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6.1.2 Допуна правног оквира- усвајање неопходних интерних аката</w:t>
            </w:r>
          </w:p>
        </w:tc>
      </w:tr>
      <w:tr w14:paraId="1237D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792B1CC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05FCB31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Допуна правног оквира – усвајање неопходних интерних аката обухвата анализу постојећег правног оквира , израду предлога аката , упознавање запослених са истим, усвајање и примену интерних аката</w:t>
            </w:r>
          </w:p>
          <w:p w14:paraId="4A6EA835">
            <w:pPr>
              <w:spacing w:after="0" w:line="240" w:lineRule="auto"/>
              <w:rPr>
                <w:rFonts w:ascii="Times New Roman" w:hAnsi="Times New Roman" w:cs="Times New Roman"/>
                <w:sz w:val="22"/>
                <w:szCs w:val="22"/>
                <w:lang w:val="sr-Cyrl-RS"/>
              </w:rPr>
            </w:pPr>
          </w:p>
        </w:tc>
      </w:tr>
      <w:tr w14:paraId="443D7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535" w:type="dxa"/>
          </w:tcPr>
          <w:p w14:paraId="044ADEA4">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6.1.2.</w:t>
            </w:r>
          </w:p>
          <w:p w14:paraId="474BFCDD">
            <w:pPr>
              <w:spacing w:after="0" w:line="240" w:lineRule="auto"/>
              <w:rPr>
                <w:rFonts w:ascii="Times New Roman" w:hAnsi="Times New Roman" w:eastAsia="Calibri" w:cs="Times New Roman"/>
                <w:b/>
                <w:bCs/>
                <w:sz w:val="22"/>
                <w:szCs w:val="22"/>
                <w:lang w:val="sr-Cyrl-RS"/>
              </w:rPr>
            </w:pPr>
          </w:p>
          <w:p w14:paraId="49308878">
            <w:pPr>
              <w:widowControl w:val="0"/>
              <w:numPr>
                <w:ilvl w:val="0"/>
                <w:numId w:val="7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постојећег правног оквира интерних аката</w:t>
            </w:r>
          </w:p>
          <w:p w14:paraId="65F049CB">
            <w:pPr>
              <w:widowControl w:val="0"/>
              <w:numPr>
                <w:ilvl w:val="0"/>
                <w:numId w:val="7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процедуре израде интерних аката</w:t>
            </w:r>
          </w:p>
          <w:p w14:paraId="4E4BE7A8">
            <w:pPr>
              <w:widowControl w:val="0"/>
              <w:numPr>
                <w:ilvl w:val="0"/>
                <w:numId w:val="7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нацрта неопходних интерних аката и упознавање запослених са предлозима аката и евентуалне допуне на иницијативу запослених</w:t>
            </w:r>
          </w:p>
          <w:p w14:paraId="5102FBFC">
            <w:pPr>
              <w:widowControl w:val="0"/>
              <w:numPr>
                <w:ilvl w:val="0"/>
                <w:numId w:val="7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Усвајање и примена интерних аката</w:t>
            </w:r>
          </w:p>
          <w:p w14:paraId="7A89D839">
            <w:pPr>
              <w:spacing w:after="0" w:line="240" w:lineRule="auto"/>
              <w:rPr>
                <w:rFonts w:ascii="Times New Roman" w:hAnsi="Times New Roman" w:cs="Times New Roman"/>
                <w:sz w:val="22"/>
                <w:szCs w:val="22"/>
                <w:lang w:val="sr-Cyrl-RS"/>
              </w:rPr>
            </w:pPr>
          </w:p>
          <w:p w14:paraId="1538EF35">
            <w:pPr>
              <w:spacing w:after="0" w:line="240" w:lineRule="auto"/>
              <w:rPr>
                <w:rFonts w:ascii="Times New Roman" w:hAnsi="Times New Roman" w:cs="Times New Roman"/>
                <w:sz w:val="22"/>
                <w:szCs w:val="22"/>
                <w:lang w:val="sr-Cyrl-RS"/>
              </w:rPr>
            </w:pPr>
          </w:p>
        </w:tc>
      </w:tr>
      <w:tr w14:paraId="3E6E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053E119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______________ЕУР ( период 2026-2030) </w:t>
            </w:r>
          </w:p>
          <w:p w14:paraId="3934ECD3">
            <w:pPr>
              <w:spacing w:after="0" w:line="240" w:lineRule="auto"/>
              <w:rPr>
                <w:rFonts w:ascii="Times New Roman" w:hAnsi="Times New Roman" w:eastAsia="Calibri" w:cs="Times New Roman"/>
                <w:sz w:val="22"/>
                <w:szCs w:val="22"/>
                <w:lang w:val="sr-Cyrl-RS"/>
              </w:rPr>
            </w:pPr>
          </w:p>
        </w:tc>
      </w:tr>
      <w:tr w14:paraId="57E8A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23960652">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p w14:paraId="4D7D3860">
            <w:pPr>
              <w:spacing w:after="0" w:line="240" w:lineRule="auto"/>
              <w:rPr>
                <w:rFonts w:ascii="Times New Roman" w:hAnsi="Times New Roman" w:eastAsia="Calibri" w:cs="Times New Roman"/>
                <w:bCs/>
                <w:sz w:val="22"/>
                <w:szCs w:val="22"/>
                <w:lang w:val="sr-Cyrl-RS"/>
              </w:rPr>
            </w:pPr>
          </w:p>
        </w:tc>
      </w:tr>
      <w:tr w14:paraId="32603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3EB1C22">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w:t>
            </w:r>
          </w:p>
          <w:p w14:paraId="3DA3076A">
            <w:pPr>
              <w:spacing w:after="0" w:line="240" w:lineRule="auto"/>
              <w:rPr>
                <w:rFonts w:ascii="Times New Roman" w:hAnsi="Times New Roman" w:eastAsia="Calibri" w:cs="Times New Roman"/>
                <w:sz w:val="22"/>
                <w:szCs w:val="22"/>
                <w:lang w:val="sr-Cyrl-RS"/>
              </w:rPr>
            </w:pPr>
          </w:p>
        </w:tc>
      </w:tr>
      <w:tr w14:paraId="2B45E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3022AF9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Партнери у реализацији: Канцеларија за информационе технологије и електронску управу</w:t>
            </w:r>
          </w:p>
          <w:p w14:paraId="3DB6DCEB">
            <w:pPr>
              <w:spacing w:after="0" w:line="240" w:lineRule="auto"/>
              <w:rPr>
                <w:rFonts w:ascii="Times New Roman" w:hAnsi="Times New Roman" w:eastAsia="Calibri" w:cs="Times New Roman"/>
                <w:sz w:val="22"/>
                <w:szCs w:val="22"/>
                <w:lang w:val="sr-Cyrl-RS"/>
              </w:rPr>
            </w:pPr>
          </w:p>
        </w:tc>
      </w:tr>
      <w:tr w14:paraId="0D856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346970D0">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Запослени у Градској управи</w:t>
            </w:r>
          </w:p>
          <w:p w14:paraId="4C199C13">
            <w:pPr>
              <w:spacing w:after="0" w:line="240" w:lineRule="auto"/>
              <w:rPr>
                <w:rFonts w:ascii="Times New Roman" w:hAnsi="Times New Roman" w:eastAsia="Calibri" w:cs="Times New Roman"/>
                <w:sz w:val="22"/>
                <w:szCs w:val="22"/>
                <w:lang w:val="sr-Cyrl-RS"/>
              </w:rPr>
            </w:pPr>
          </w:p>
        </w:tc>
      </w:tr>
      <w:tr w14:paraId="61517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2D236B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65895A13">
            <w:pPr>
              <w:spacing w:after="0" w:line="240" w:lineRule="auto"/>
              <w:rPr>
                <w:rFonts w:ascii="Times New Roman" w:hAnsi="Times New Roman" w:eastAsia="Calibri" w:cs="Times New Roman"/>
                <w:sz w:val="22"/>
                <w:szCs w:val="22"/>
                <w:lang w:val="sr-Cyrl-RS"/>
              </w:rPr>
            </w:pPr>
          </w:p>
        </w:tc>
      </w:tr>
      <w:tr w14:paraId="01F0D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0E5E32FD">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4ED6BB19">
            <w:pPr>
              <w:widowControl w:val="0"/>
              <w:numPr>
                <w:ilvl w:val="0"/>
                <w:numId w:val="7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Извештај о анализи постојећих интерних аката</w:t>
            </w:r>
          </w:p>
          <w:p w14:paraId="1ED487D9">
            <w:pPr>
              <w:widowControl w:val="0"/>
              <w:numPr>
                <w:ilvl w:val="0"/>
                <w:numId w:val="7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предложених интерних аката</w:t>
            </w:r>
          </w:p>
          <w:p w14:paraId="5A6C5A89">
            <w:pPr>
              <w:widowControl w:val="0"/>
              <w:numPr>
                <w:ilvl w:val="0"/>
                <w:numId w:val="7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усвојених интерних аката</w:t>
            </w:r>
          </w:p>
          <w:p w14:paraId="09DA1749">
            <w:pPr>
              <w:spacing w:after="0" w:line="240" w:lineRule="auto"/>
              <w:rPr>
                <w:rFonts w:ascii="Times New Roman" w:hAnsi="Times New Roman" w:cs="Times New Roman"/>
                <w:bCs/>
                <w:sz w:val="22"/>
                <w:szCs w:val="22"/>
                <w:lang w:val="sr-Cyrl-RS"/>
              </w:rPr>
            </w:pPr>
          </w:p>
          <w:p w14:paraId="0EBBF303">
            <w:pPr>
              <w:spacing w:after="0" w:line="240" w:lineRule="auto"/>
              <w:rPr>
                <w:rFonts w:ascii="Times New Roman" w:hAnsi="Times New Roman" w:cs="Times New Roman"/>
                <w:bCs/>
                <w:sz w:val="22"/>
                <w:szCs w:val="22"/>
                <w:lang w:val="sr-Cyrl-RS"/>
              </w:rPr>
            </w:pPr>
          </w:p>
          <w:p w14:paraId="5B666300">
            <w:pPr>
              <w:spacing w:after="0" w:line="240" w:lineRule="auto"/>
              <w:rPr>
                <w:rFonts w:ascii="Times New Roman" w:hAnsi="Times New Roman" w:cs="Times New Roman"/>
                <w:sz w:val="22"/>
                <w:szCs w:val="22"/>
                <w:lang w:val="sr-Cyrl-RS"/>
              </w:rPr>
            </w:pPr>
          </w:p>
        </w:tc>
      </w:tr>
    </w:tbl>
    <w:p w14:paraId="0F8B4E24">
      <w:pPr>
        <w:spacing w:after="0" w:line="240" w:lineRule="auto"/>
        <w:rPr>
          <w:rFonts w:ascii="Times New Roman" w:hAnsi="Times New Roman" w:cs="Times New Roman"/>
          <w:sz w:val="22"/>
          <w:szCs w:val="22"/>
          <w:lang w:val="sr-Cyrl-RS"/>
        </w:rPr>
      </w:pPr>
    </w:p>
    <w:p w14:paraId="6E417AD8">
      <w:pPr>
        <w:spacing w:after="0" w:line="240" w:lineRule="auto"/>
        <w:rPr>
          <w:rFonts w:ascii="Times New Roman" w:hAnsi="Times New Roman" w:cs="Times New Roman"/>
          <w:sz w:val="22"/>
          <w:szCs w:val="22"/>
          <w:lang w:val="sr-Cyrl-RS"/>
        </w:rPr>
      </w:pPr>
    </w:p>
    <w:p w14:paraId="6112910D">
      <w:pPr>
        <w:spacing w:after="0" w:line="240" w:lineRule="auto"/>
        <w:rPr>
          <w:rFonts w:ascii="Times New Roman" w:hAnsi="Times New Roman" w:cs="Times New Roman"/>
          <w:sz w:val="22"/>
          <w:szCs w:val="22"/>
          <w:lang w:val="sr-Cyrl-RS"/>
        </w:rPr>
      </w:pPr>
    </w:p>
    <w:p w14:paraId="20537ECF">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5"/>
      </w:tblGrid>
      <w:tr w14:paraId="07550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E3491EF">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6.1 Ефикасне и транспарентне е – услуге за грађане и привреду</w:t>
            </w:r>
          </w:p>
          <w:p w14:paraId="01CF4349">
            <w:pPr>
              <w:spacing w:after="0" w:line="240" w:lineRule="auto"/>
              <w:rPr>
                <w:rFonts w:ascii="Times New Roman" w:hAnsi="Times New Roman" w:eastAsia="Calibri" w:cs="Times New Roman"/>
                <w:sz w:val="22"/>
                <w:szCs w:val="22"/>
                <w:lang w:val="sr-Cyrl-RS"/>
              </w:rPr>
            </w:pPr>
          </w:p>
        </w:tc>
      </w:tr>
      <w:tr w14:paraId="523CF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45E6117">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13BFA1C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6.1.3 Унапређење организације и систематизације радних места за потребе е Управе ( допуна описа послова тако да садржи ставке које се односе на еУправу, управљање смарт решењима, отварање података)</w:t>
            </w:r>
          </w:p>
          <w:p w14:paraId="39AD8E68">
            <w:pPr>
              <w:spacing w:after="0" w:line="240" w:lineRule="auto"/>
              <w:rPr>
                <w:rFonts w:ascii="Times New Roman" w:hAnsi="Times New Roman" w:cs="Times New Roman"/>
                <w:sz w:val="22"/>
                <w:szCs w:val="22"/>
                <w:lang w:val="sr-Cyrl-RS"/>
              </w:rPr>
            </w:pPr>
          </w:p>
        </w:tc>
      </w:tr>
      <w:tr w14:paraId="738E6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852CA5A">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6B29A68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Унапређење организације и ситематизације радних места за потребе еУправе обухвата анализу постојећих описа послова радних места , допуну коначних описа послова. </w:t>
            </w:r>
          </w:p>
          <w:p w14:paraId="37E7507B">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Циљ је унапређење Правилника тако да одговара потербама е Управе.</w:t>
            </w:r>
          </w:p>
          <w:p w14:paraId="40074FD5">
            <w:pPr>
              <w:spacing w:after="0" w:line="240" w:lineRule="auto"/>
              <w:rPr>
                <w:rFonts w:ascii="Times New Roman" w:hAnsi="Times New Roman" w:cs="Times New Roman"/>
                <w:sz w:val="22"/>
                <w:szCs w:val="22"/>
                <w:lang w:val="sr-Cyrl-RS"/>
              </w:rPr>
            </w:pPr>
          </w:p>
        </w:tc>
      </w:tr>
      <w:tr w14:paraId="12023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445" w:type="dxa"/>
          </w:tcPr>
          <w:p w14:paraId="3A0600C5">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6.1.3.</w:t>
            </w:r>
          </w:p>
          <w:p w14:paraId="13584EC6">
            <w:pPr>
              <w:widowControl w:val="0"/>
              <w:numPr>
                <w:ilvl w:val="0"/>
                <w:numId w:val="7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радних места предвиђених правилником о организацији и систематизацији радних места у Градској управи, служби Интерне ревизије и Градском правобранилаштву</w:t>
            </w:r>
          </w:p>
          <w:p w14:paraId="3DD2C72A">
            <w:pPr>
              <w:widowControl w:val="0"/>
              <w:numPr>
                <w:ilvl w:val="0"/>
                <w:numId w:val="7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претходних и коначних описа послова радних места  за потребе еУправе</w:t>
            </w:r>
          </w:p>
          <w:p w14:paraId="5A2F69CD">
            <w:pPr>
              <w:widowControl w:val="0"/>
              <w:numPr>
                <w:ilvl w:val="0"/>
                <w:numId w:val="7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описа послова тако да сваки опис посла садржи елементе који се односе на потребе е Управе</w:t>
            </w:r>
          </w:p>
          <w:p w14:paraId="67FACB9D">
            <w:pPr>
              <w:spacing w:after="0" w:line="240" w:lineRule="auto"/>
              <w:ind w:left="720"/>
              <w:rPr>
                <w:rFonts w:ascii="Times New Roman" w:hAnsi="Times New Roman" w:cs="Times New Roman"/>
                <w:sz w:val="22"/>
                <w:szCs w:val="22"/>
                <w:lang w:val="sr-Cyrl-RS"/>
              </w:rPr>
            </w:pPr>
          </w:p>
          <w:p w14:paraId="1B6246B1">
            <w:pPr>
              <w:spacing w:after="0" w:line="240" w:lineRule="auto"/>
              <w:rPr>
                <w:rFonts w:ascii="Times New Roman" w:hAnsi="Times New Roman" w:cs="Times New Roman"/>
                <w:sz w:val="22"/>
                <w:szCs w:val="22"/>
                <w:lang w:val="sr-Cyrl-RS"/>
              </w:rPr>
            </w:pPr>
          </w:p>
          <w:p w14:paraId="243EA30F">
            <w:pPr>
              <w:spacing w:after="0" w:line="240" w:lineRule="auto"/>
              <w:rPr>
                <w:rFonts w:ascii="Times New Roman" w:hAnsi="Times New Roman" w:cs="Times New Roman"/>
                <w:sz w:val="22"/>
                <w:szCs w:val="22"/>
                <w:lang w:val="sr-Cyrl-RS"/>
              </w:rPr>
            </w:pPr>
          </w:p>
        </w:tc>
      </w:tr>
      <w:tr w14:paraId="4FC75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7A092401">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______________ЕУР ( период 2026-2030) </w:t>
            </w:r>
          </w:p>
          <w:p w14:paraId="4BB73DB6">
            <w:pPr>
              <w:spacing w:after="0" w:line="240" w:lineRule="auto"/>
              <w:rPr>
                <w:rFonts w:ascii="Times New Roman" w:hAnsi="Times New Roman" w:eastAsia="Calibri" w:cs="Times New Roman"/>
                <w:sz w:val="22"/>
                <w:szCs w:val="22"/>
                <w:lang w:val="sr-Cyrl-RS"/>
              </w:rPr>
            </w:pPr>
          </w:p>
        </w:tc>
      </w:tr>
      <w:tr w14:paraId="75CB1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DADD500">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p w14:paraId="00D13AD8">
            <w:pPr>
              <w:spacing w:after="0" w:line="240" w:lineRule="auto"/>
              <w:rPr>
                <w:rFonts w:ascii="Times New Roman" w:hAnsi="Times New Roman" w:eastAsia="Calibri" w:cs="Times New Roman"/>
                <w:bCs/>
                <w:sz w:val="22"/>
                <w:szCs w:val="22"/>
                <w:lang w:val="sr-Cyrl-RS"/>
              </w:rPr>
            </w:pPr>
          </w:p>
        </w:tc>
      </w:tr>
      <w:tr w14:paraId="69EF6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BF57AB0">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w:t>
            </w:r>
          </w:p>
          <w:p w14:paraId="63706569">
            <w:pPr>
              <w:spacing w:after="0" w:line="240" w:lineRule="auto"/>
              <w:rPr>
                <w:rFonts w:ascii="Times New Roman" w:hAnsi="Times New Roman" w:eastAsia="Calibri" w:cs="Times New Roman"/>
                <w:sz w:val="22"/>
                <w:szCs w:val="22"/>
                <w:lang w:val="sr-Cyrl-RS"/>
              </w:rPr>
            </w:pPr>
          </w:p>
        </w:tc>
      </w:tr>
      <w:tr w14:paraId="5A24C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0096F1A">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Партнери у реализацији: Канцеларија за информационе технологије и електронску управу</w:t>
            </w:r>
          </w:p>
          <w:p w14:paraId="24F806AC">
            <w:pPr>
              <w:spacing w:after="0" w:line="240" w:lineRule="auto"/>
              <w:rPr>
                <w:rFonts w:ascii="Times New Roman" w:hAnsi="Times New Roman" w:eastAsia="Calibri" w:cs="Times New Roman"/>
                <w:sz w:val="22"/>
                <w:szCs w:val="22"/>
                <w:lang w:val="sr-Cyrl-RS"/>
              </w:rPr>
            </w:pPr>
          </w:p>
        </w:tc>
      </w:tr>
      <w:tr w14:paraId="60743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EEFB02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Запослени у Градској управи</w:t>
            </w:r>
          </w:p>
          <w:p w14:paraId="5C450F99">
            <w:pPr>
              <w:spacing w:after="0" w:line="240" w:lineRule="auto"/>
              <w:rPr>
                <w:rFonts w:ascii="Times New Roman" w:hAnsi="Times New Roman" w:eastAsia="Calibri" w:cs="Times New Roman"/>
                <w:sz w:val="22"/>
                <w:szCs w:val="22"/>
                <w:lang w:val="sr-Cyrl-RS"/>
              </w:rPr>
            </w:pPr>
          </w:p>
        </w:tc>
      </w:tr>
      <w:tr w14:paraId="52F08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525FC1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7D44C96E">
            <w:pPr>
              <w:spacing w:after="0" w:line="240" w:lineRule="auto"/>
              <w:rPr>
                <w:rFonts w:ascii="Times New Roman" w:hAnsi="Times New Roman" w:eastAsia="Calibri" w:cs="Times New Roman"/>
                <w:sz w:val="22"/>
                <w:szCs w:val="22"/>
                <w:lang w:val="sr-Cyrl-RS"/>
              </w:rPr>
            </w:pPr>
          </w:p>
        </w:tc>
      </w:tr>
      <w:tr w14:paraId="3FBAD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F9DB9BE">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10EBAC81">
            <w:pPr>
              <w:widowControl w:val="0"/>
              <w:numPr>
                <w:ilvl w:val="0"/>
                <w:numId w:val="78"/>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bCs/>
                <w:sz w:val="22"/>
                <w:szCs w:val="22"/>
                <w:lang w:val="sr-Cyrl-RS"/>
              </w:rPr>
              <w:t>Извештај о анализи претходних описа послова радних места у Градској управи</w:t>
            </w:r>
          </w:p>
          <w:p w14:paraId="3C459BB8">
            <w:pPr>
              <w:widowControl w:val="0"/>
              <w:numPr>
                <w:ilvl w:val="0"/>
                <w:numId w:val="7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допуњених коначних описа послова радних места у Градској управи</w:t>
            </w:r>
          </w:p>
          <w:p w14:paraId="5573A6ED">
            <w:pPr>
              <w:spacing w:after="0" w:line="240" w:lineRule="auto"/>
              <w:rPr>
                <w:rFonts w:ascii="Times New Roman" w:hAnsi="Times New Roman" w:cs="Times New Roman"/>
                <w:bCs/>
                <w:sz w:val="22"/>
                <w:szCs w:val="22"/>
                <w:lang w:val="sr-Cyrl-RS"/>
              </w:rPr>
            </w:pPr>
          </w:p>
          <w:p w14:paraId="50D7BE12">
            <w:pPr>
              <w:spacing w:after="0" w:line="240" w:lineRule="auto"/>
              <w:rPr>
                <w:rFonts w:ascii="Times New Roman" w:hAnsi="Times New Roman" w:cs="Times New Roman"/>
                <w:bCs/>
                <w:sz w:val="22"/>
                <w:szCs w:val="22"/>
                <w:lang w:val="sr-Cyrl-RS"/>
              </w:rPr>
            </w:pPr>
          </w:p>
          <w:p w14:paraId="7FA3888F">
            <w:pPr>
              <w:spacing w:after="0" w:line="240" w:lineRule="auto"/>
              <w:rPr>
                <w:rFonts w:ascii="Times New Roman" w:hAnsi="Times New Roman" w:cs="Times New Roman"/>
                <w:sz w:val="22"/>
                <w:szCs w:val="22"/>
                <w:lang w:val="sr-Cyrl-RS"/>
              </w:rPr>
            </w:pPr>
          </w:p>
        </w:tc>
      </w:tr>
    </w:tbl>
    <w:p w14:paraId="7DAAE86E">
      <w:pPr>
        <w:spacing w:after="0" w:line="240" w:lineRule="auto"/>
        <w:rPr>
          <w:rFonts w:ascii="Times New Roman" w:hAnsi="Times New Roman" w:cs="Times New Roman"/>
          <w:sz w:val="22"/>
          <w:szCs w:val="22"/>
          <w:lang w:val="sr-Cyrl-RS"/>
        </w:rPr>
      </w:pPr>
    </w:p>
    <w:p w14:paraId="20A3B4CE">
      <w:pPr>
        <w:spacing w:after="0" w:line="240" w:lineRule="auto"/>
        <w:rPr>
          <w:rFonts w:ascii="Times New Roman" w:hAnsi="Times New Roman" w:cs="Times New Roman"/>
          <w:sz w:val="22"/>
          <w:szCs w:val="22"/>
          <w:lang w:val="sr-Cyrl-RS"/>
        </w:rPr>
      </w:pPr>
    </w:p>
    <w:p w14:paraId="435C0B97">
      <w:pPr>
        <w:spacing w:after="0" w:line="240" w:lineRule="auto"/>
        <w:rPr>
          <w:rFonts w:ascii="Times New Roman" w:hAnsi="Times New Roman" w:cs="Times New Roman"/>
          <w:sz w:val="22"/>
          <w:szCs w:val="22"/>
          <w:lang w:val="sr-Cyrl-RS"/>
        </w:rPr>
      </w:pPr>
    </w:p>
    <w:p w14:paraId="3D358802">
      <w:pPr>
        <w:spacing w:after="0" w:line="240" w:lineRule="auto"/>
        <w:rPr>
          <w:rFonts w:ascii="Times New Roman" w:hAnsi="Times New Roman" w:cs="Times New Roman"/>
          <w:sz w:val="22"/>
          <w:szCs w:val="22"/>
          <w:lang w:val="sr-Cyrl-RS"/>
        </w:rPr>
      </w:pPr>
    </w:p>
    <w:p w14:paraId="49AF7AA2">
      <w:pPr>
        <w:spacing w:after="0" w:line="240" w:lineRule="auto"/>
        <w:rPr>
          <w:rFonts w:ascii="Times New Roman" w:hAnsi="Times New Roman" w:cs="Times New Roman"/>
          <w:sz w:val="22"/>
          <w:szCs w:val="22"/>
          <w:lang w:val="sr-Cyrl-RS"/>
        </w:rPr>
      </w:pPr>
    </w:p>
    <w:p w14:paraId="6C0084BF">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5"/>
      </w:tblGrid>
      <w:tr w14:paraId="3A872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6AF182CE">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6.1 Ефикасне и транспарентне е – услуге за грађане и привреду</w:t>
            </w:r>
          </w:p>
          <w:p w14:paraId="4E33F692">
            <w:pPr>
              <w:spacing w:after="0" w:line="240" w:lineRule="auto"/>
              <w:rPr>
                <w:rFonts w:ascii="Times New Roman" w:hAnsi="Times New Roman" w:eastAsia="Calibri" w:cs="Times New Roman"/>
                <w:sz w:val="22"/>
                <w:szCs w:val="22"/>
                <w:lang w:val="sr-Cyrl-RS"/>
              </w:rPr>
            </w:pPr>
          </w:p>
        </w:tc>
      </w:tr>
      <w:tr w14:paraId="03A9F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6D2B31E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2D25D56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6.1.4 Успостављање централне аналитичке јединице ( Smart City Office).</w:t>
            </w:r>
          </w:p>
          <w:p w14:paraId="1F791867">
            <w:pPr>
              <w:spacing w:after="0" w:line="240" w:lineRule="auto"/>
              <w:rPr>
                <w:rFonts w:ascii="Times New Roman" w:hAnsi="Times New Roman" w:cs="Times New Roman"/>
                <w:sz w:val="22"/>
                <w:szCs w:val="22"/>
                <w:lang w:val="sr-Cyrl-RS"/>
              </w:rPr>
            </w:pPr>
          </w:p>
        </w:tc>
      </w:tr>
      <w:tr w14:paraId="532A3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2AD6FFF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1526A8F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Формирање аналитичког тима задуженог за обраду података, израду извештаја и подршку доносиоцима одлука</w:t>
            </w:r>
          </w:p>
          <w:p w14:paraId="072C8D02">
            <w:pPr>
              <w:spacing w:after="0" w:line="240" w:lineRule="auto"/>
              <w:rPr>
                <w:rFonts w:ascii="Times New Roman" w:hAnsi="Times New Roman" w:cs="Times New Roman"/>
                <w:sz w:val="22"/>
                <w:szCs w:val="22"/>
                <w:lang w:val="sr-Cyrl-RS"/>
              </w:rPr>
            </w:pPr>
          </w:p>
        </w:tc>
      </w:tr>
      <w:tr w14:paraId="53450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535" w:type="dxa"/>
          </w:tcPr>
          <w:p w14:paraId="1662ABBF">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6.1.4.</w:t>
            </w:r>
          </w:p>
          <w:p w14:paraId="626377C8">
            <w:pPr>
              <w:spacing w:after="0" w:line="240" w:lineRule="auto"/>
              <w:rPr>
                <w:rFonts w:ascii="Times New Roman" w:hAnsi="Times New Roman" w:eastAsia="Calibri" w:cs="Times New Roman"/>
                <w:b/>
                <w:bCs/>
                <w:sz w:val="22"/>
                <w:szCs w:val="22"/>
                <w:lang w:val="sr-Cyrl-RS"/>
              </w:rPr>
            </w:pPr>
          </w:p>
          <w:p w14:paraId="1CF712BE">
            <w:pPr>
              <w:widowControl w:val="0"/>
              <w:numPr>
                <w:ilvl w:val="0"/>
                <w:numId w:val="7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Доношење одлуке о формирању тима</w:t>
            </w:r>
          </w:p>
          <w:p w14:paraId="4D96C9C1">
            <w:pPr>
              <w:widowControl w:val="0"/>
              <w:numPr>
                <w:ilvl w:val="0"/>
                <w:numId w:val="7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Обрада података и израда извештаја о стању о пруженим е услугама грађанима и привреди.</w:t>
            </w:r>
          </w:p>
          <w:p w14:paraId="2CC6DCF0">
            <w:pPr>
              <w:widowControl w:val="0"/>
              <w:numPr>
                <w:ilvl w:val="0"/>
                <w:numId w:val="7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Пружање конкретне подршке  током процеса доношења одлука на основу прикупљених података и извештаја.</w:t>
            </w:r>
          </w:p>
          <w:p w14:paraId="6416A546">
            <w:pPr>
              <w:spacing w:after="0" w:line="240" w:lineRule="auto"/>
              <w:ind w:left="720"/>
              <w:rPr>
                <w:rFonts w:ascii="Times New Roman" w:hAnsi="Times New Roman" w:cs="Times New Roman"/>
                <w:sz w:val="22"/>
                <w:szCs w:val="22"/>
                <w:lang w:val="sr-Cyrl-RS"/>
              </w:rPr>
            </w:pPr>
          </w:p>
          <w:p w14:paraId="53CF5036">
            <w:pPr>
              <w:spacing w:after="0" w:line="240" w:lineRule="auto"/>
              <w:rPr>
                <w:rFonts w:ascii="Times New Roman" w:hAnsi="Times New Roman" w:cs="Times New Roman"/>
                <w:sz w:val="22"/>
                <w:szCs w:val="22"/>
                <w:lang w:val="sr-Cyrl-RS"/>
              </w:rPr>
            </w:pPr>
          </w:p>
        </w:tc>
      </w:tr>
      <w:tr w14:paraId="545B3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992147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______________ЕУР ( период 2026-2030) </w:t>
            </w:r>
          </w:p>
          <w:p w14:paraId="1427C272">
            <w:pPr>
              <w:spacing w:after="0" w:line="240" w:lineRule="auto"/>
              <w:rPr>
                <w:rFonts w:ascii="Times New Roman" w:hAnsi="Times New Roman" w:eastAsia="Calibri" w:cs="Times New Roman"/>
                <w:sz w:val="22"/>
                <w:szCs w:val="22"/>
                <w:lang w:val="sr-Cyrl-RS"/>
              </w:rPr>
            </w:pPr>
          </w:p>
        </w:tc>
      </w:tr>
      <w:tr w14:paraId="753BF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4B923CF7">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p w14:paraId="4439B75B">
            <w:pPr>
              <w:spacing w:after="0" w:line="240" w:lineRule="auto"/>
              <w:rPr>
                <w:rFonts w:ascii="Times New Roman" w:hAnsi="Times New Roman" w:eastAsia="Calibri" w:cs="Times New Roman"/>
                <w:bCs/>
                <w:sz w:val="22"/>
                <w:szCs w:val="22"/>
                <w:lang w:val="sr-Cyrl-RS"/>
              </w:rPr>
            </w:pPr>
          </w:p>
        </w:tc>
      </w:tr>
      <w:tr w14:paraId="757F2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9D59664">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 Одсек за информатику, аналитичка јединица  Smart City Office.</w:t>
            </w:r>
          </w:p>
          <w:p w14:paraId="31F740D6">
            <w:pPr>
              <w:spacing w:after="0" w:line="240" w:lineRule="auto"/>
              <w:rPr>
                <w:rFonts w:ascii="Times New Roman" w:hAnsi="Times New Roman" w:eastAsia="Calibri" w:cs="Times New Roman"/>
                <w:sz w:val="22"/>
                <w:szCs w:val="22"/>
                <w:lang w:val="sr-Cyrl-RS"/>
              </w:rPr>
            </w:pPr>
          </w:p>
        </w:tc>
      </w:tr>
      <w:tr w14:paraId="62E72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2A47A9D9">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Партнери у реализацији: Канцеларија за информационе технологије и електронску управу</w:t>
            </w:r>
          </w:p>
          <w:p w14:paraId="1A4BA434">
            <w:pPr>
              <w:spacing w:after="0" w:line="240" w:lineRule="auto"/>
              <w:rPr>
                <w:rFonts w:ascii="Times New Roman" w:hAnsi="Times New Roman" w:eastAsia="Calibri" w:cs="Times New Roman"/>
                <w:sz w:val="22"/>
                <w:szCs w:val="22"/>
                <w:lang w:val="sr-Cyrl-RS"/>
              </w:rPr>
            </w:pPr>
          </w:p>
        </w:tc>
      </w:tr>
      <w:tr w14:paraId="1F87E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89570D7">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Запослени у Градској управи</w:t>
            </w:r>
          </w:p>
          <w:p w14:paraId="7816D8CB">
            <w:pPr>
              <w:spacing w:after="0" w:line="240" w:lineRule="auto"/>
              <w:rPr>
                <w:rFonts w:ascii="Times New Roman" w:hAnsi="Times New Roman" w:eastAsia="Calibri" w:cs="Times New Roman"/>
                <w:sz w:val="22"/>
                <w:szCs w:val="22"/>
                <w:lang w:val="sr-Cyrl-RS"/>
              </w:rPr>
            </w:pPr>
          </w:p>
        </w:tc>
      </w:tr>
      <w:tr w14:paraId="0E180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3C54A69C">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1688830B">
            <w:pPr>
              <w:spacing w:after="0" w:line="240" w:lineRule="auto"/>
              <w:rPr>
                <w:rFonts w:ascii="Times New Roman" w:hAnsi="Times New Roman" w:eastAsia="Calibri" w:cs="Times New Roman"/>
                <w:sz w:val="22"/>
                <w:szCs w:val="22"/>
                <w:lang w:val="sr-Cyrl-RS"/>
              </w:rPr>
            </w:pPr>
          </w:p>
        </w:tc>
      </w:tr>
      <w:tr w14:paraId="2D249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4A7940B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28B45F5C">
            <w:pPr>
              <w:widowControl w:val="0"/>
              <w:numPr>
                <w:ilvl w:val="0"/>
                <w:numId w:val="80"/>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Одлука о формирању аналитичке јединице  Smart City Office</w:t>
            </w:r>
          </w:p>
          <w:p w14:paraId="2ABB0CB6">
            <w:pPr>
              <w:widowControl w:val="0"/>
              <w:numPr>
                <w:ilvl w:val="0"/>
                <w:numId w:val="80"/>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Извештај о раду аналитичке јединице  Smart City Office</w:t>
            </w:r>
          </w:p>
          <w:p w14:paraId="64E3761C">
            <w:pPr>
              <w:spacing w:after="0" w:line="240" w:lineRule="auto"/>
              <w:rPr>
                <w:rFonts w:ascii="Times New Roman" w:hAnsi="Times New Roman" w:cs="Times New Roman"/>
                <w:bCs/>
                <w:sz w:val="22"/>
                <w:szCs w:val="22"/>
                <w:lang w:val="sr-Cyrl-RS"/>
              </w:rPr>
            </w:pPr>
          </w:p>
          <w:p w14:paraId="053701C4">
            <w:pPr>
              <w:spacing w:after="0" w:line="240" w:lineRule="auto"/>
              <w:rPr>
                <w:rFonts w:ascii="Times New Roman" w:hAnsi="Times New Roman" w:cs="Times New Roman"/>
                <w:bCs/>
                <w:sz w:val="22"/>
                <w:szCs w:val="22"/>
                <w:lang w:val="sr-Cyrl-RS"/>
              </w:rPr>
            </w:pPr>
          </w:p>
          <w:p w14:paraId="2A4B7DC4">
            <w:pPr>
              <w:spacing w:after="0" w:line="240" w:lineRule="auto"/>
              <w:rPr>
                <w:rFonts w:ascii="Times New Roman" w:hAnsi="Times New Roman" w:cs="Times New Roman"/>
                <w:sz w:val="22"/>
                <w:szCs w:val="22"/>
                <w:lang w:val="sr-Cyrl-RS"/>
              </w:rPr>
            </w:pPr>
          </w:p>
        </w:tc>
      </w:tr>
    </w:tbl>
    <w:p w14:paraId="710A75EF">
      <w:pPr>
        <w:spacing w:after="0" w:line="240" w:lineRule="auto"/>
        <w:rPr>
          <w:rFonts w:ascii="Times New Roman" w:hAnsi="Times New Roman" w:cs="Times New Roman"/>
          <w:sz w:val="22"/>
          <w:szCs w:val="22"/>
          <w:lang w:val="sr-Cyrl-RS"/>
        </w:rPr>
      </w:pPr>
    </w:p>
    <w:p w14:paraId="395B401F">
      <w:pPr>
        <w:spacing w:after="0" w:line="240" w:lineRule="auto"/>
        <w:rPr>
          <w:rFonts w:ascii="Times New Roman" w:hAnsi="Times New Roman" w:cs="Times New Roman"/>
          <w:sz w:val="22"/>
          <w:szCs w:val="22"/>
          <w:lang w:val="sr-Cyrl-RS"/>
        </w:rPr>
      </w:pPr>
    </w:p>
    <w:p w14:paraId="7CB7A71F">
      <w:pPr>
        <w:spacing w:after="0" w:line="240" w:lineRule="auto"/>
        <w:rPr>
          <w:rFonts w:ascii="Times New Roman" w:hAnsi="Times New Roman" w:cs="Times New Roman"/>
          <w:sz w:val="22"/>
          <w:szCs w:val="22"/>
          <w:lang w:val="sr-Cyrl-RS"/>
        </w:rPr>
      </w:pPr>
    </w:p>
    <w:p w14:paraId="2C934381">
      <w:pPr>
        <w:spacing w:after="0" w:line="240" w:lineRule="auto"/>
        <w:rPr>
          <w:rFonts w:ascii="Times New Roman" w:hAnsi="Times New Roman" w:cs="Times New Roman"/>
          <w:sz w:val="22"/>
          <w:szCs w:val="22"/>
          <w:lang w:val="sr-Cyrl-RS"/>
        </w:rPr>
      </w:pPr>
    </w:p>
    <w:p w14:paraId="28916D6D">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5"/>
      </w:tblGrid>
      <w:tr w14:paraId="483FF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6E1FC5F6">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6.1 Ефикасне и транспарентне е – услуге за грађане и привреду</w:t>
            </w:r>
          </w:p>
          <w:p w14:paraId="53FA66A0">
            <w:pPr>
              <w:spacing w:after="0" w:line="240" w:lineRule="auto"/>
              <w:rPr>
                <w:rFonts w:ascii="Times New Roman" w:hAnsi="Times New Roman" w:eastAsia="Calibri" w:cs="Times New Roman"/>
                <w:sz w:val="22"/>
                <w:szCs w:val="22"/>
                <w:lang w:val="sr-Cyrl-RS"/>
              </w:rPr>
            </w:pPr>
          </w:p>
        </w:tc>
      </w:tr>
      <w:tr w14:paraId="02387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8E02EF7">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2B76A8D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6.1.5 Унапређење ИКТ безбедности</w:t>
            </w:r>
          </w:p>
        </w:tc>
      </w:tr>
      <w:tr w14:paraId="17318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4AECAD74">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74C72709">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Повећање нивоа заштите ИТ инфраструктуре Градске управе кроз модернизацију опреме и софтвера</w:t>
            </w:r>
          </w:p>
        </w:tc>
      </w:tr>
      <w:tr w14:paraId="7D49C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535" w:type="dxa"/>
          </w:tcPr>
          <w:p w14:paraId="62A27D0B">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6.1.5</w:t>
            </w:r>
          </w:p>
          <w:p w14:paraId="0EA3F98C">
            <w:pPr>
              <w:spacing w:after="0" w:line="240" w:lineRule="auto"/>
              <w:ind w:left="720"/>
              <w:rPr>
                <w:rFonts w:ascii="Times New Roman" w:hAnsi="Times New Roman" w:cs="Times New Roman"/>
                <w:sz w:val="22"/>
                <w:szCs w:val="22"/>
                <w:lang w:val="sr-Cyrl-RS"/>
              </w:rPr>
            </w:pPr>
          </w:p>
          <w:p w14:paraId="43A92E93">
            <w:pPr>
              <w:widowControl w:val="0"/>
              <w:numPr>
                <w:ilvl w:val="0"/>
                <w:numId w:val="81"/>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о стању безбедности ИКТ система у Градској управи</w:t>
            </w:r>
          </w:p>
          <w:p w14:paraId="4C6C9884">
            <w:pPr>
              <w:widowControl w:val="0"/>
              <w:numPr>
                <w:ilvl w:val="0"/>
                <w:numId w:val="81"/>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Унапређење ИКТ безбедности кроз обуке запослених у Градској управи</w:t>
            </w:r>
          </w:p>
          <w:p w14:paraId="7D23D4FE">
            <w:pPr>
              <w:widowControl w:val="0"/>
              <w:numPr>
                <w:ilvl w:val="0"/>
                <w:numId w:val="81"/>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извештаја о унапређењу безбедности ИКТ система у Градској управи</w:t>
            </w:r>
          </w:p>
          <w:p w14:paraId="62AF1AB1">
            <w:pPr>
              <w:spacing w:after="0" w:line="240" w:lineRule="auto"/>
              <w:rPr>
                <w:rFonts w:ascii="Times New Roman" w:hAnsi="Times New Roman" w:cs="Times New Roman"/>
                <w:sz w:val="22"/>
                <w:szCs w:val="22"/>
                <w:lang w:val="sr-Cyrl-RS"/>
              </w:rPr>
            </w:pPr>
          </w:p>
          <w:p w14:paraId="729FF368">
            <w:pPr>
              <w:spacing w:after="0" w:line="240" w:lineRule="auto"/>
              <w:rPr>
                <w:rFonts w:ascii="Times New Roman" w:hAnsi="Times New Roman" w:cs="Times New Roman"/>
                <w:sz w:val="22"/>
                <w:szCs w:val="22"/>
                <w:lang w:val="sr-Cyrl-RS"/>
              </w:rPr>
            </w:pPr>
          </w:p>
        </w:tc>
      </w:tr>
      <w:tr w14:paraId="14609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270C6BF">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______________ЕУР ( период 2026-2030) </w:t>
            </w:r>
          </w:p>
          <w:p w14:paraId="0B855027">
            <w:pPr>
              <w:spacing w:after="0" w:line="240" w:lineRule="auto"/>
              <w:rPr>
                <w:rFonts w:ascii="Times New Roman" w:hAnsi="Times New Roman" w:eastAsia="Calibri" w:cs="Times New Roman"/>
                <w:sz w:val="22"/>
                <w:szCs w:val="22"/>
                <w:lang w:val="sr-Cyrl-RS"/>
              </w:rPr>
            </w:pPr>
          </w:p>
        </w:tc>
      </w:tr>
      <w:tr w14:paraId="2F82C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857051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p w14:paraId="1D6B1149">
            <w:pPr>
              <w:spacing w:after="0" w:line="240" w:lineRule="auto"/>
              <w:rPr>
                <w:rFonts w:ascii="Times New Roman" w:hAnsi="Times New Roman" w:eastAsia="Calibri" w:cs="Times New Roman"/>
                <w:bCs/>
                <w:sz w:val="22"/>
                <w:szCs w:val="22"/>
                <w:lang w:val="sr-Cyrl-RS"/>
              </w:rPr>
            </w:pPr>
          </w:p>
        </w:tc>
      </w:tr>
      <w:tr w14:paraId="0EE07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480E9E84">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 Одсек за информатику</w:t>
            </w:r>
          </w:p>
          <w:p w14:paraId="73E40D56">
            <w:pPr>
              <w:spacing w:after="0" w:line="240" w:lineRule="auto"/>
              <w:rPr>
                <w:rFonts w:ascii="Times New Roman" w:hAnsi="Times New Roman" w:eastAsia="Calibri" w:cs="Times New Roman"/>
                <w:sz w:val="22"/>
                <w:szCs w:val="22"/>
                <w:lang w:val="sr-Cyrl-RS"/>
              </w:rPr>
            </w:pPr>
          </w:p>
        </w:tc>
      </w:tr>
      <w:tr w14:paraId="4DFF9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556F262B">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Партнери у реализацији: Канцеларија за информационе технологије и електронску управу</w:t>
            </w:r>
          </w:p>
          <w:p w14:paraId="24182992">
            <w:pPr>
              <w:spacing w:after="0" w:line="240" w:lineRule="auto"/>
              <w:rPr>
                <w:rFonts w:ascii="Times New Roman" w:hAnsi="Times New Roman" w:eastAsia="Calibri" w:cs="Times New Roman"/>
                <w:sz w:val="22"/>
                <w:szCs w:val="22"/>
                <w:lang w:val="sr-Cyrl-RS"/>
              </w:rPr>
            </w:pPr>
          </w:p>
        </w:tc>
      </w:tr>
      <w:tr w14:paraId="5514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61B9970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Запослени у Градској управи</w:t>
            </w:r>
          </w:p>
          <w:p w14:paraId="27E34680">
            <w:pPr>
              <w:spacing w:after="0" w:line="240" w:lineRule="auto"/>
              <w:rPr>
                <w:rFonts w:ascii="Times New Roman" w:hAnsi="Times New Roman" w:eastAsia="Calibri" w:cs="Times New Roman"/>
                <w:sz w:val="22"/>
                <w:szCs w:val="22"/>
                <w:lang w:val="sr-Cyrl-RS"/>
              </w:rPr>
            </w:pPr>
          </w:p>
        </w:tc>
      </w:tr>
      <w:tr w14:paraId="6AEFE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0C74602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6798C5FA">
            <w:pPr>
              <w:spacing w:after="0" w:line="240" w:lineRule="auto"/>
              <w:rPr>
                <w:rFonts w:ascii="Times New Roman" w:hAnsi="Times New Roman" w:eastAsia="Calibri" w:cs="Times New Roman"/>
                <w:sz w:val="22"/>
                <w:szCs w:val="22"/>
                <w:lang w:val="sr-Cyrl-RS"/>
              </w:rPr>
            </w:pPr>
          </w:p>
        </w:tc>
      </w:tr>
      <w:tr w14:paraId="0475E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0B9562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312B8DA8">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 xml:space="preserve">Извештај о стању ИКТ безбедности </w:t>
            </w:r>
          </w:p>
          <w:p w14:paraId="6EE63E4B">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обучених запослених</w:t>
            </w:r>
          </w:p>
          <w:p w14:paraId="11F0C267">
            <w:pPr>
              <w:spacing w:after="0" w:line="240" w:lineRule="auto"/>
              <w:rPr>
                <w:rFonts w:ascii="Times New Roman" w:hAnsi="Times New Roman" w:cs="Times New Roman"/>
                <w:bCs/>
                <w:sz w:val="22"/>
                <w:szCs w:val="22"/>
                <w:lang w:val="sr-Cyrl-RS"/>
              </w:rPr>
            </w:pPr>
          </w:p>
          <w:p w14:paraId="5C5EA655">
            <w:pPr>
              <w:spacing w:after="0" w:line="240" w:lineRule="auto"/>
              <w:rPr>
                <w:rFonts w:ascii="Times New Roman" w:hAnsi="Times New Roman" w:cs="Times New Roman"/>
                <w:bCs/>
                <w:sz w:val="22"/>
                <w:szCs w:val="22"/>
                <w:lang w:val="sr-Cyrl-RS"/>
              </w:rPr>
            </w:pPr>
          </w:p>
          <w:p w14:paraId="361FFE92">
            <w:pPr>
              <w:spacing w:after="0" w:line="240" w:lineRule="auto"/>
              <w:rPr>
                <w:rFonts w:ascii="Times New Roman" w:hAnsi="Times New Roman" w:cs="Times New Roman"/>
                <w:sz w:val="22"/>
                <w:szCs w:val="22"/>
                <w:lang w:val="sr-Cyrl-RS"/>
              </w:rPr>
            </w:pPr>
          </w:p>
        </w:tc>
      </w:tr>
    </w:tbl>
    <w:p w14:paraId="3AE7AD9F">
      <w:pPr>
        <w:spacing w:after="0" w:line="240" w:lineRule="auto"/>
        <w:rPr>
          <w:rFonts w:ascii="Times New Roman" w:hAnsi="Times New Roman" w:cs="Times New Roman"/>
          <w:sz w:val="22"/>
          <w:szCs w:val="22"/>
          <w:lang w:val="sr-Cyrl-RS"/>
        </w:rPr>
      </w:pPr>
    </w:p>
    <w:p w14:paraId="64FC8925">
      <w:pPr>
        <w:spacing w:after="0" w:line="240" w:lineRule="auto"/>
        <w:rPr>
          <w:rFonts w:ascii="Times New Roman" w:hAnsi="Times New Roman" w:cs="Times New Roman"/>
          <w:sz w:val="22"/>
          <w:szCs w:val="22"/>
          <w:lang w:val="sr-Cyrl-RS"/>
        </w:rPr>
      </w:pPr>
    </w:p>
    <w:p w14:paraId="47264F38">
      <w:pPr>
        <w:spacing w:after="0" w:line="240" w:lineRule="auto"/>
        <w:rPr>
          <w:rFonts w:ascii="Times New Roman" w:hAnsi="Times New Roman" w:cs="Times New Roman"/>
          <w:sz w:val="22"/>
          <w:szCs w:val="22"/>
          <w:lang w:val="sr-Cyrl-RS"/>
        </w:rPr>
      </w:pPr>
    </w:p>
    <w:p w14:paraId="23B9FE13">
      <w:pPr>
        <w:spacing w:after="0" w:line="240" w:lineRule="auto"/>
        <w:rPr>
          <w:rFonts w:ascii="Times New Roman" w:hAnsi="Times New Roman" w:cs="Times New Roman"/>
          <w:sz w:val="22"/>
          <w:szCs w:val="22"/>
          <w:lang w:val="sr-Cyrl-RS"/>
        </w:rPr>
      </w:pPr>
    </w:p>
    <w:p w14:paraId="3154D381">
      <w:pPr>
        <w:spacing w:after="0" w:line="240" w:lineRule="auto"/>
        <w:rPr>
          <w:rFonts w:ascii="Times New Roman" w:hAnsi="Times New Roman" w:cs="Times New Roman"/>
          <w:sz w:val="22"/>
          <w:szCs w:val="22"/>
          <w:lang w:val="sr-Cyrl-RS"/>
        </w:rPr>
      </w:pPr>
    </w:p>
    <w:p w14:paraId="1E42C2F9">
      <w:pPr>
        <w:spacing w:after="0" w:line="240" w:lineRule="auto"/>
        <w:rPr>
          <w:rFonts w:ascii="Times New Roman" w:hAnsi="Times New Roman" w:cs="Times New Roman"/>
          <w:sz w:val="22"/>
          <w:szCs w:val="22"/>
          <w:lang w:val="sr-Cyrl-RS"/>
        </w:rPr>
      </w:pPr>
    </w:p>
    <w:p w14:paraId="023E8C66">
      <w:pPr>
        <w:spacing w:after="0" w:line="240" w:lineRule="auto"/>
        <w:rPr>
          <w:rFonts w:ascii="Times New Roman" w:hAnsi="Times New Roman" w:cs="Times New Roman"/>
          <w:sz w:val="22"/>
          <w:szCs w:val="22"/>
          <w:lang w:val="sr-Cyrl-RS"/>
        </w:rPr>
      </w:pPr>
    </w:p>
    <w:p w14:paraId="349CD28A">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5"/>
      </w:tblGrid>
      <w:tr w14:paraId="304DF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7F45B56C">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6.1 Ефикасне и транспарентне е – услуге за грађане и привреду</w:t>
            </w:r>
          </w:p>
        </w:tc>
      </w:tr>
      <w:tr w14:paraId="4A93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3A191E55">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70AD7CA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6.1.6 Смањење правних и техничких ризика код јавних набавки и управљања уговорима о информационим системима и паметним решењима</w:t>
            </w:r>
          </w:p>
        </w:tc>
      </w:tr>
      <w:tr w14:paraId="1B06F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1A20E78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7B5EFAD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директно адресира један од највећих ризика у имплементацији паметних решења:</w:t>
            </w:r>
          </w:p>
          <w:p w14:paraId="05CABB71">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лоше техничке спецификације</w:t>
            </w:r>
          </w:p>
          <w:p w14:paraId="4D8598B8">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vendor lock-in</w:t>
            </w:r>
          </w:p>
          <w:p w14:paraId="1940AD4D">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недовољно дефинисане уговорне обавезе</w:t>
            </w:r>
          </w:p>
          <w:p w14:paraId="6145305F">
            <w:pPr>
              <w:pStyle w:val="39"/>
              <w:numPr>
                <w:ilvl w:val="0"/>
                <w:numId w:val="38"/>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проблеми са одржавањем и власништвом над подацима</w:t>
            </w:r>
          </w:p>
          <w:p w14:paraId="365D9EB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квалитета јавних набавки и управљања уговорима у области информационих система и паметних решења кроз увођење стандардизованих процедура, техничких спецификација и уговорних механизама који смањују правне и оперативне ризике.</w:t>
            </w:r>
          </w:p>
          <w:p w14:paraId="409E3256">
            <w:pPr>
              <w:spacing w:after="0" w:line="240" w:lineRule="auto"/>
              <w:rPr>
                <w:rFonts w:ascii="Times New Roman" w:hAnsi="Times New Roman" w:cs="Times New Roman"/>
                <w:sz w:val="22"/>
                <w:szCs w:val="22"/>
                <w:lang w:val="sr-Cyrl-RS"/>
              </w:rPr>
            </w:pPr>
          </w:p>
          <w:p w14:paraId="0FFDEA0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 xml:space="preserve">Мера подразумева развој интерних смерница и модела документације за набавке у области информационих технологија, укључујући техничке спецификације, уговорне клаузуле, услове за одржавање система, управљање подацима и обезбеђивање интероперабилности система. Посебан акценат ставља се на транспарентност, одрживост система и заштиту интереса локалне самоуправе. Применом ове мере смањује се ризик од техничких и правних проблема током реализације пројеката, повећава квалитет набављених решења и обезбеђује дугорочна функционалност и одрживост паметних система. Ове активности сматрају се нискобуџетним и високо-утицајним за управљање ризицима. </w:t>
            </w:r>
          </w:p>
        </w:tc>
      </w:tr>
      <w:tr w14:paraId="42AE5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535" w:type="dxa"/>
          </w:tcPr>
          <w:p w14:paraId="762E9F18">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6.1.6</w:t>
            </w:r>
          </w:p>
          <w:p w14:paraId="759A5EEA">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постојећих процедура јавних набавки у области информационих система и паметних решења.</w:t>
            </w:r>
          </w:p>
          <w:p w14:paraId="3E38394F">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стандарда и смерница за припрему техничких спецификација за набавку информационих система и паметних решења.</w:t>
            </w:r>
          </w:p>
          <w:p w14:paraId="0DFB60BF">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Развој модела уговорних клаузула за ИКТ и Smart City системе (нпр. власништво над подацима, одржавање система, SLA, interoperability, cybersecurity).</w:t>
            </w:r>
          </w:p>
          <w:p w14:paraId="7FBB3914">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процедуре за контролу квалитета техничке документације и уговора пре покретања набавке.</w:t>
            </w:r>
          </w:p>
          <w:p w14:paraId="4C89AF39">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обука за службенике задужене за јавне набавке и управљање пројектима.</w:t>
            </w:r>
          </w:p>
          <w:p w14:paraId="5913FA64">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Увођење механизма праћења реализације уговора и управљања ризицима.</w:t>
            </w:r>
          </w:p>
          <w:p w14:paraId="6E79C29D">
            <w:pPr>
              <w:widowControl w:val="0"/>
              <w:numPr>
                <w:ilvl w:val="0"/>
                <w:numId w:val="83"/>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сарадње са стручним институцијама и експертима у области ИКТ и јавних набавки.</w:t>
            </w:r>
          </w:p>
          <w:p w14:paraId="502BFDA4">
            <w:pPr>
              <w:numPr>
                <w:ilvl w:val="0"/>
                <w:numId w:val="83"/>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Редовно ажурирање смерница и процедура у складу са законским и технолошким променама.</w:t>
            </w:r>
          </w:p>
        </w:tc>
      </w:tr>
      <w:tr w14:paraId="0C04C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359D93E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Процењена вредност:  15.000 ЕУР</w:t>
            </w:r>
          </w:p>
          <w:p w14:paraId="793F49F2">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(период 2026–2030, у зависности од обима анализа, израде документације и обука) </w:t>
            </w:r>
          </w:p>
        </w:tc>
      </w:tr>
      <w:tr w14:paraId="3653F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2EEC3257">
            <w:pPr>
              <w:spacing w:after="0" w:line="240" w:lineRule="auto"/>
              <w:rPr>
                <w:rFonts w:ascii="Times New Roman" w:hAnsi="Times New Roman" w:eastAsia="Calibri" w:cs="Times New Roman"/>
                <w:bCs/>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 Пирота, национални програми унапређења јавне управе, донаторски програми, EU фондови, програми техничке подршке.</w:t>
            </w:r>
          </w:p>
        </w:tc>
      </w:tr>
      <w:tr w14:paraId="059C9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4D926E41">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 Одсек за информатику</w:t>
            </w:r>
          </w:p>
        </w:tc>
      </w:tr>
      <w:tr w14:paraId="254FD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63DCB670">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Правна служба града, служба за јавне набавке, ИТ служба, стручне институције, консултанти, надлежна министарства, донаторске организације.</w:t>
            </w:r>
          </w:p>
        </w:tc>
      </w:tr>
      <w:tr w14:paraId="753F0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01ECD1F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Службеници локалне самоуправе, јавна комунална предузећа, управљачи информационим системима, грађани, привредни субјекти.</w:t>
            </w:r>
          </w:p>
        </w:tc>
      </w:tr>
      <w:tr w14:paraId="05550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0D1F5037">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tc>
      </w:tr>
      <w:tr w14:paraId="767C0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5" w:type="dxa"/>
          </w:tcPr>
          <w:p w14:paraId="2A78E7E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7B65E1D5">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усвојене смернице за техничке спецификације и уговоре</w:t>
            </w:r>
          </w:p>
          <w:p w14:paraId="0E95A2D1">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обучених службеника</w:t>
            </w:r>
          </w:p>
          <w:p w14:paraId="1D93D7E9">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набавки спроведених уз примену стандарда</w:t>
            </w:r>
          </w:p>
          <w:p w14:paraId="4BCED106">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идентификованих и решених ризика</w:t>
            </w:r>
          </w:p>
          <w:p w14:paraId="5835A2AD">
            <w:pPr>
              <w:widowControl w:val="0"/>
              <w:numPr>
                <w:ilvl w:val="0"/>
                <w:numId w:val="82"/>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смањење броја спорова и проблема у реализацији уговора</w:t>
            </w:r>
          </w:p>
          <w:p w14:paraId="1CAEBC56">
            <w:pPr>
              <w:numPr>
                <w:ilvl w:val="0"/>
                <w:numId w:val="82"/>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ниво задовољства корисника набављеним системима</w:t>
            </w:r>
          </w:p>
        </w:tc>
      </w:tr>
    </w:tbl>
    <w:p w14:paraId="0E6148B8">
      <w:pPr>
        <w:spacing w:line="259" w:lineRule="auto"/>
        <w:rPr>
          <w:rFonts w:ascii="Times New Roman" w:hAnsi="Times New Roman" w:cs="Times New Roman"/>
          <w:sz w:val="22"/>
          <w:szCs w:val="22"/>
          <w:lang w:val="sr-Cyrl-RS"/>
        </w:rPr>
      </w:pPr>
    </w:p>
    <w:tbl>
      <w:tblPr>
        <w:tblStyle w:val="12"/>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5"/>
      </w:tblGrid>
      <w:tr w14:paraId="489B3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52F7A02">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6.2 Информисање, комуникација са грађанима и едукација у циљу унапређења дигиталне писмености</w:t>
            </w:r>
          </w:p>
          <w:p w14:paraId="49687D49">
            <w:pPr>
              <w:spacing w:after="0" w:line="240" w:lineRule="auto"/>
              <w:rPr>
                <w:rFonts w:ascii="Times New Roman" w:hAnsi="Times New Roman" w:eastAsia="Calibri" w:cs="Times New Roman"/>
                <w:sz w:val="22"/>
                <w:szCs w:val="22"/>
                <w:lang w:val="sr-Cyrl-RS"/>
              </w:rPr>
            </w:pPr>
          </w:p>
        </w:tc>
      </w:tr>
      <w:tr w14:paraId="20568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66152D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5EB39B34">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6.2.1. Израда плана комуникације ( информативне, консултативне и промотивне активности у циљу унапређења е Управе и паметног управљања градом)</w:t>
            </w:r>
          </w:p>
          <w:p w14:paraId="2B561453">
            <w:pPr>
              <w:spacing w:after="0" w:line="240" w:lineRule="auto"/>
              <w:rPr>
                <w:rFonts w:ascii="Times New Roman" w:hAnsi="Times New Roman" w:cs="Times New Roman"/>
                <w:sz w:val="22"/>
                <w:szCs w:val="22"/>
                <w:lang w:val="sr-Cyrl-RS"/>
              </w:rPr>
            </w:pPr>
          </w:p>
        </w:tc>
      </w:tr>
      <w:tr w14:paraId="36BE7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26CE82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17125E7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Дефинисааање стратегије комуникације са привредом и грађанима и успостављање плана комуникације.</w:t>
            </w:r>
          </w:p>
        </w:tc>
      </w:tr>
      <w:tr w14:paraId="54D24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445" w:type="dxa"/>
          </w:tcPr>
          <w:p w14:paraId="44C99D6D">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6.2.1.</w:t>
            </w:r>
          </w:p>
          <w:p w14:paraId="05A948B3">
            <w:pPr>
              <w:widowControl w:val="0"/>
              <w:numPr>
                <w:ilvl w:val="0"/>
                <w:numId w:val="84"/>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Мапирање тренутног нивоа комуникације са грађанима и привредом кроз анкету.</w:t>
            </w:r>
          </w:p>
          <w:p w14:paraId="4A56B64C">
            <w:pPr>
              <w:widowControl w:val="0"/>
              <w:numPr>
                <w:ilvl w:val="0"/>
                <w:numId w:val="84"/>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плана комуникације на основу извештаја анекете</w:t>
            </w:r>
          </w:p>
          <w:p w14:paraId="7B9C4F15">
            <w:pPr>
              <w:widowControl w:val="0"/>
              <w:numPr>
                <w:ilvl w:val="0"/>
                <w:numId w:val="84"/>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смерница за спровођење плана комуникације  у циљу унапређења дигиталне писмености</w:t>
            </w:r>
          </w:p>
          <w:p w14:paraId="3692D1CA">
            <w:pPr>
              <w:widowControl w:val="0"/>
              <w:numPr>
                <w:ilvl w:val="0"/>
                <w:numId w:val="84"/>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Извештај о ефектима спровођења плана комуникације</w:t>
            </w:r>
          </w:p>
          <w:p w14:paraId="39870148">
            <w:pPr>
              <w:spacing w:after="0" w:line="240" w:lineRule="auto"/>
              <w:ind w:left="720"/>
              <w:rPr>
                <w:rFonts w:ascii="Times New Roman" w:hAnsi="Times New Roman" w:cs="Times New Roman"/>
                <w:sz w:val="22"/>
                <w:szCs w:val="22"/>
                <w:lang w:val="sr-Cyrl-RS"/>
              </w:rPr>
            </w:pPr>
          </w:p>
          <w:p w14:paraId="0B490B44">
            <w:pPr>
              <w:spacing w:after="0" w:line="240" w:lineRule="auto"/>
              <w:ind w:left="720"/>
              <w:rPr>
                <w:rFonts w:ascii="Times New Roman" w:hAnsi="Times New Roman" w:cs="Times New Roman"/>
                <w:sz w:val="22"/>
                <w:szCs w:val="22"/>
                <w:lang w:val="sr-Cyrl-RS"/>
              </w:rPr>
            </w:pPr>
          </w:p>
          <w:p w14:paraId="0C41D698">
            <w:pPr>
              <w:spacing w:after="0" w:line="240" w:lineRule="auto"/>
              <w:rPr>
                <w:rFonts w:ascii="Times New Roman" w:hAnsi="Times New Roman" w:cs="Times New Roman"/>
                <w:sz w:val="22"/>
                <w:szCs w:val="22"/>
                <w:lang w:val="sr-Cyrl-RS"/>
              </w:rPr>
            </w:pPr>
          </w:p>
        </w:tc>
      </w:tr>
      <w:tr w14:paraId="17B8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165645D">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______________ЕУР ( период 2026-2030) </w:t>
            </w:r>
          </w:p>
          <w:p w14:paraId="49C7F96F">
            <w:pPr>
              <w:spacing w:after="0" w:line="240" w:lineRule="auto"/>
              <w:rPr>
                <w:rFonts w:ascii="Times New Roman" w:hAnsi="Times New Roman" w:eastAsia="Calibri" w:cs="Times New Roman"/>
                <w:sz w:val="22"/>
                <w:szCs w:val="22"/>
                <w:lang w:val="sr-Cyrl-RS"/>
              </w:rPr>
            </w:pPr>
          </w:p>
        </w:tc>
      </w:tr>
      <w:tr w14:paraId="63298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D59264F">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p w14:paraId="501F7DCA">
            <w:pPr>
              <w:spacing w:after="0" w:line="240" w:lineRule="auto"/>
              <w:rPr>
                <w:rFonts w:ascii="Times New Roman" w:hAnsi="Times New Roman" w:eastAsia="Calibri" w:cs="Times New Roman"/>
                <w:bCs/>
                <w:sz w:val="22"/>
                <w:szCs w:val="22"/>
                <w:lang w:val="sr-Cyrl-RS"/>
              </w:rPr>
            </w:pPr>
          </w:p>
        </w:tc>
      </w:tr>
      <w:tr w14:paraId="79EBB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B30A652">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 Одсек за људске ресусре и опште послове</w:t>
            </w:r>
          </w:p>
          <w:p w14:paraId="24696245">
            <w:pPr>
              <w:spacing w:after="0" w:line="240" w:lineRule="auto"/>
              <w:rPr>
                <w:rFonts w:ascii="Times New Roman" w:hAnsi="Times New Roman" w:eastAsia="Calibri" w:cs="Times New Roman"/>
                <w:sz w:val="22"/>
                <w:szCs w:val="22"/>
                <w:lang w:val="sr-Cyrl-RS"/>
              </w:rPr>
            </w:pPr>
          </w:p>
        </w:tc>
      </w:tr>
      <w:tr w14:paraId="14F56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33ED5B2">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Партнери у реализацији:/</w:t>
            </w:r>
          </w:p>
          <w:p w14:paraId="7C99022D">
            <w:pPr>
              <w:spacing w:after="0" w:line="240" w:lineRule="auto"/>
              <w:rPr>
                <w:rFonts w:ascii="Times New Roman" w:hAnsi="Times New Roman" w:eastAsia="Calibri" w:cs="Times New Roman"/>
                <w:sz w:val="22"/>
                <w:szCs w:val="22"/>
                <w:lang w:val="sr-Cyrl-RS"/>
              </w:rPr>
            </w:pPr>
          </w:p>
        </w:tc>
      </w:tr>
      <w:tr w14:paraId="3B268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4F6CF6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грађани, привреда</w:t>
            </w:r>
          </w:p>
          <w:p w14:paraId="2B7ED10C">
            <w:pPr>
              <w:spacing w:after="0" w:line="240" w:lineRule="auto"/>
              <w:rPr>
                <w:rFonts w:ascii="Times New Roman" w:hAnsi="Times New Roman" w:eastAsia="Calibri" w:cs="Times New Roman"/>
                <w:sz w:val="22"/>
                <w:szCs w:val="22"/>
                <w:lang w:val="sr-Cyrl-RS"/>
              </w:rPr>
            </w:pPr>
          </w:p>
        </w:tc>
      </w:tr>
      <w:tr w14:paraId="1E04F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068AE87">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5AFC5991">
            <w:pPr>
              <w:spacing w:after="0" w:line="240" w:lineRule="auto"/>
              <w:rPr>
                <w:rFonts w:ascii="Times New Roman" w:hAnsi="Times New Roman" w:eastAsia="Calibri" w:cs="Times New Roman"/>
                <w:sz w:val="22"/>
                <w:szCs w:val="22"/>
                <w:lang w:val="sr-Cyrl-RS"/>
              </w:rPr>
            </w:pPr>
          </w:p>
        </w:tc>
      </w:tr>
      <w:tr w14:paraId="46C43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FBB44E4">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0E4EA9C3">
            <w:pPr>
              <w:widowControl w:val="0"/>
              <w:numPr>
                <w:ilvl w:val="0"/>
                <w:numId w:val="8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Израђен и успостављен план комуникације</w:t>
            </w:r>
          </w:p>
          <w:p w14:paraId="7AD34387">
            <w:pPr>
              <w:spacing w:after="0" w:line="240" w:lineRule="auto"/>
              <w:rPr>
                <w:rFonts w:ascii="Times New Roman" w:hAnsi="Times New Roman" w:cs="Times New Roman"/>
                <w:bCs/>
                <w:sz w:val="22"/>
                <w:szCs w:val="22"/>
                <w:lang w:val="sr-Cyrl-RS"/>
              </w:rPr>
            </w:pPr>
          </w:p>
          <w:p w14:paraId="15D279E6">
            <w:pPr>
              <w:spacing w:after="0" w:line="240" w:lineRule="auto"/>
              <w:rPr>
                <w:rFonts w:ascii="Times New Roman" w:hAnsi="Times New Roman" w:cs="Times New Roman"/>
                <w:bCs/>
                <w:sz w:val="22"/>
                <w:szCs w:val="22"/>
                <w:lang w:val="sr-Cyrl-RS"/>
              </w:rPr>
            </w:pPr>
          </w:p>
          <w:p w14:paraId="469B16BD">
            <w:pPr>
              <w:spacing w:after="0" w:line="240" w:lineRule="auto"/>
              <w:rPr>
                <w:rFonts w:ascii="Times New Roman" w:hAnsi="Times New Roman" w:cs="Times New Roman"/>
                <w:sz w:val="22"/>
                <w:szCs w:val="22"/>
                <w:lang w:val="sr-Cyrl-RS"/>
              </w:rPr>
            </w:pPr>
          </w:p>
        </w:tc>
      </w:tr>
    </w:tbl>
    <w:p w14:paraId="702350B6">
      <w:pPr>
        <w:spacing w:after="0" w:line="240" w:lineRule="auto"/>
        <w:rPr>
          <w:rFonts w:ascii="Times New Roman" w:hAnsi="Times New Roman" w:cs="Times New Roman"/>
          <w:sz w:val="22"/>
          <w:szCs w:val="22"/>
          <w:lang w:val="sr-Cyrl-RS"/>
        </w:rPr>
      </w:pPr>
    </w:p>
    <w:p w14:paraId="15DC429E">
      <w:pPr>
        <w:spacing w:after="0" w:line="240" w:lineRule="auto"/>
        <w:rPr>
          <w:rFonts w:ascii="Times New Roman" w:hAnsi="Times New Roman" w:cs="Times New Roman"/>
          <w:sz w:val="22"/>
          <w:szCs w:val="22"/>
          <w:lang w:val="sr-Cyrl-RS"/>
        </w:rPr>
      </w:pPr>
    </w:p>
    <w:p w14:paraId="3DF45B79">
      <w:pPr>
        <w:spacing w:after="0" w:line="240" w:lineRule="auto"/>
        <w:rPr>
          <w:rFonts w:ascii="Times New Roman" w:hAnsi="Times New Roman" w:cs="Times New Roman"/>
          <w:sz w:val="22"/>
          <w:szCs w:val="22"/>
          <w:lang w:val="sr-Cyrl-RS"/>
        </w:rPr>
      </w:pPr>
    </w:p>
    <w:p w14:paraId="62661403">
      <w:pPr>
        <w:spacing w:after="0" w:line="240" w:lineRule="auto"/>
        <w:rPr>
          <w:rFonts w:ascii="Times New Roman" w:hAnsi="Times New Roman" w:cs="Times New Roman"/>
          <w:sz w:val="22"/>
          <w:szCs w:val="22"/>
          <w:lang w:val="sr-Cyrl-RS"/>
        </w:rPr>
      </w:pPr>
    </w:p>
    <w:p w14:paraId="011A95E1">
      <w:pPr>
        <w:spacing w:after="0" w:line="240" w:lineRule="auto"/>
        <w:rPr>
          <w:rFonts w:ascii="Times New Roman" w:hAnsi="Times New Roman" w:cs="Times New Roman"/>
          <w:sz w:val="22"/>
          <w:szCs w:val="22"/>
          <w:lang w:val="sr-Cyrl-RS"/>
        </w:rPr>
      </w:pPr>
    </w:p>
    <w:p w14:paraId="73F48398">
      <w:pPr>
        <w:spacing w:after="0" w:line="240" w:lineRule="auto"/>
        <w:rPr>
          <w:rFonts w:ascii="Times New Roman" w:hAnsi="Times New Roman" w:cs="Times New Roman"/>
          <w:sz w:val="22"/>
          <w:szCs w:val="22"/>
          <w:lang w:val="sr-Cyrl-RS"/>
        </w:rPr>
      </w:pPr>
    </w:p>
    <w:p w14:paraId="06695A88">
      <w:pPr>
        <w:spacing w:after="0" w:line="240" w:lineRule="auto"/>
        <w:rPr>
          <w:rFonts w:ascii="Times New Roman" w:hAnsi="Times New Roman" w:cs="Times New Roman"/>
          <w:sz w:val="22"/>
          <w:szCs w:val="22"/>
          <w:lang w:val="sr-Cyrl-RS"/>
        </w:rPr>
      </w:pPr>
    </w:p>
    <w:p w14:paraId="12C2B940">
      <w:pPr>
        <w:spacing w:after="0" w:line="240" w:lineRule="auto"/>
        <w:rPr>
          <w:rFonts w:ascii="Times New Roman" w:hAnsi="Times New Roman" w:cs="Times New Roman"/>
          <w:sz w:val="22"/>
          <w:szCs w:val="22"/>
          <w:lang w:val="sr-Cyrl-RS"/>
        </w:rPr>
      </w:pPr>
    </w:p>
    <w:p w14:paraId="5349754F">
      <w:pPr>
        <w:spacing w:after="0" w:line="240" w:lineRule="auto"/>
        <w:rPr>
          <w:rFonts w:ascii="Times New Roman" w:hAnsi="Times New Roman" w:cs="Times New Roman"/>
          <w:sz w:val="22"/>
          <w:szCs w:val="22"/>
          <w:lang w:val="sr-Cyrl-RS"/>
        </w:rPr>
      </w:pPr>
    </w:p>
    <w:p w14:paraId="44264638">
      <w:pPr>
        <w:spacing w:after="0" w:line="240" w:lineRule="auto"/>
        <w:rPr>
          <w:rFonts w:ascii="Times New Roman" w:hAnsi="Times New Roman" w:cs="Times New Roman"/>
          <w:sz w:val="22"/>
          <w:szCs w:val="22"/>
          <w:lang w:val="sr-Cyrl-RS"/>
        </w:rPr>
      </w:pPr>
    </w:p>
    <w:p w14:paraId="0B60A91D">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5"/>
      </w:tblGrid>
      <w:tr w14:paraId="2D197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6447E0D">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6.2 Информисање, комуникација са грађанима и едукација у циљу унапређења дигиталне писмености</w:t>
            </w:r>
          </w:p>
          <w:p w14:paraId="5CA47B42">
            <w:pPr>
              <w:spacing w:after="0" w:line="240" w:lineRule="auto"/>
              <w:rPr>
                <w:rFonts w:ascii="Times New Roman" w:hAnsi="Times New Roman" w:eastAsia="Calibri" w:cs="Times New Roman"/>
                <w:sz w:val="22"/>
                <w:szCs w:val="22"/>
                <w:lang w:val="sr-Cyrl-RS"/>
              </w:rPr>
            </w:pPr>
          </w:p>
        </w:tc>
      </w:tr>
      <w:tr w14:paraId="06424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5254BF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42DF295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6.2.2 Израда нове званичне веб презентације града Пирота и веб странице за промоцију еУправе и концепта паметног града</w:t>
            </w:r>
          </w:p>
        </w:tc>
      </w:tr>
      <w:tr w14:paraId="47F02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6FE1C6A">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4D94E845">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информисања грађана и привреде, повећање транспарентности рада локалне самоуправе и подстицање коришћења електронских услуга кроз израду модерне, функционалне и приступачне веб презентације града.</w:t>
            </w:r>
          </w:p>
          <w:p w14:paraId="649F9022">
            <w:pPr>
              <w:spacing w:after="0" w:line="240" w:lineRule="auto"/>
              <w:rPr>
                <w:rFonts w:ascii="Times New Roman" w:hAnsi="Times New Roman" w:cs="Times New Roman"/>
                <w:sz w:val="22"/>
                <w:szCs w:val="22"/>
                <w:lang w:val="sr-Cyrl-RS"/>
              </w:rPr>
            </w:pPr>
          </w:p>
          <w:p w14:paraId="586945D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редизајн и техничко унапређење званичне веб презентације, успостављање јединственог места за приступ е-услугама, као и креирање посебне странице посвећене Smart City концепту, дигиталним услугама и пројектима. Посебан акценат ставља се на једноставност коришћења, приступачност за све кориснике (укључујући особе са инвалидитетом) и доступност информација у реалном времену.</w:t>
            </w:r>
          </w:p>
          <w:p w14:paraId="59A9FD22">
            <w:pPr>
              <w:spacing w:after="0" w:line="240" w:lineRule="auto"/>
              <w:rPr>
                <w:rFonts w:ascii="Times New Roman" w:hAnsi="Times New Roman" w:cs="Times New Roman"/>
                <w:sz w:val="22"/>
                <w:szCs w:val="22"/>
                <w:lang w:val="sr-Cyrl-RS"/>
              </w:rPr>
            </w:pPr>
          </w:p>
          <w:p w14:paraId="6960F6F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Применом ове мере омогућава се боља комуникација са грађанима, повећање коришћења електронских услуга и унапређење дигиталне трансформације локалне самоуправе.</w:t>
            </w:r>
          </w:p>
        </w:tc>
      </w:tr>
      <w:tr w14:paraId="4B94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445" w:type="dxa"/>
          </w:tcPr>
          <w:p w14:paraId="634E48C8">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6.2.2.</w:t>
            </w:r>
          </w:p>
          <w:p w14:paraId="4D4B06C8">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постојеће веб презентације града и потреба корисника.</w:t>
            </w:r>
          </w:p>
          <w:p w14:paraId="52501699">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Дефинисање функционалних и техничких захтева за нову веб презентацију.</w:t>
            </w:r>
          </w:p>
          <w:p w14:paraId="657FD3A8">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Дизајн и развој нове веб презентације града.</w:t>
            </w:r>
          </w:p>
          <w:p w14:paraId="73E7B955">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странице посвећене еУправи и Smart City концепту.</w:t>
            </w:r>
          </w:p>
          <w:p w14:paraId="1BBDE1E6">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Интеграција дигиталних сервиса у оквиру веб презентације.</w:t>
            </w:r>
          </w:p>
          <w:p w14:paraId="5E8FFD4F">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Прилагођавање веб презентације стандардима приступачности (нпр. за особе са инвалидитетом).</w:t>
            </w:r>
          </w:p>
          <w:p w14:paraId="54F5A7D9">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Обука запослених за управљање садржајем и одржавање веб презентације.</w:t>
            </w:r>
          </w:p>
          <w:p w14:paraId="6F351C1A">
            <w:pPr>
              <w:widowControl w:val="0"/>
              <w:numPr>
                <w:ilvl w:val="0"/>
                <w:numId w:val="86"/>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Информисање грађана о новој веб презентацији и доступним услугама.</w:t>
            </w:r>
          </w:p>
          <w:p w14:paraId="6383FD57">
            <w:pPr>
              <w:numPr>
                <w:ilvl w:val="0"/>
                <w:numId w:val="86"/>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Континуирано ажурирање и унапређење веб презентације.</w:t>
            </w:r>
          </w:p>
          <w:p w14:paraId="599AE206">
            <w:pPr>
              <w:spacing w:after="0" w:line="240" w:lineRule="auto"/>
              <w:ind w:left="720"/>
              <w:rPr>
                <w:rFonts w:ascii="Times New Roman" w:hAnsi="Times New Roman" w:cs="Times New Roman"/>
                <w:sz w:val="22"/>
                <w:szCs w:val="22"/>
                <w:lang w:val="sr-Cyrl-RS"/>
              </w:rPr>
            </w:pPr>
          </w:p>
          <w:p w14:paraId="25DDDDD8">
            <w:pPr>
              <w:spacing w:after="0" w:line="240" w:lineRule="auto"/>
              <w:rPr>
                <w:rFonts w:ascii="Times New Roman" w:hAnsi="Times New Roman" w:cs="Times New Roman"/>
                <w:sz w:val="22"/>
                <w:szCs w:val="22"/>
                <w:lang w:val="sr-Cyrl-RS"/>
              </w:rPr>
            </w:pPr>
          </w:p>
        </w:tc>
      </w:tr>
      <w:tr w14:paraId="5A563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5BC843A">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20.000 ЕУР (период 2026-2027) </w:t>
            </w:r>
          </w:p>
          <w:p w14:paraId="7C296009">
            <w:pPr>
              <w:spacing w:after="0" w:line="240" w:lineRule="auto"/>
              <w:rPr>
                <w:rFonts w:ascii="Times New Roman" w:hAnsi="Times New Roman" w:eastAsia="Calibri" w:cs="Times New Roman"/>
                <w:sz w:val="22"/>
                <w:szCs w:val="22"/>
                <w:lang w:val="sr-Cyrl-RS"/>
              </w:rPr>
            </w:pPr>
          </w:p>
        </w:tc>
      </w:tr>
      <w:tr w14:paraId="65626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89FCC0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 Пирота, Канцеларија за ИЗ и еУправу, национални програми дигитализације јавне управе, донаторски програми, EU фондови, партнерски пројекти.</w:t>
            </w:r>
          </w:p>
        </w:tc>
      </w:tr>
      <w:tr w14:paraId="365C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B96E1AE">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Носилац реализације: Град Пирот</w:t>
            </w:r>
          </w:p>
        </w:tc>
      </w:tr>
      <w:tr w14:paraId="6093B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5E72C1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ИТ служба града, јавна комунална предузећа, установе јавног сектора, ИТ компаније, медији, организације цивилног друштва.</w:t>
            </w:r>
          </w:p>
        </w:tc>
      </w:tr>
      <w:tr w14:paraId="308E1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DE0D891">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Грађани, привредни субјекти, туристи, запослени у јавној управи, организације цивилног друштва.</w:t>
            </w:r>
          </w:p>
          <w:p w14:paraId="55E0EA6C">
            <w:pPr>
              <w:spacing w:after="0" w:line="240" w:lineRule="auto"/>
              <w:rPr>
                <w:rFonts w:ascii="Times New Roman" w:hAnsi="Times New Roman" w:eastAsia="Calibri" w:cs="Times New Roman"/>
                <w:sz w:val="22"/>
                <w:szCs w:val="22"/>
                <w:lang w:val="sr-Cyrl-RS"/>
              </w:rPr>
            </w:pPr>
          </w:p>
        </w:tc>
      </w:tr>
      <w:tr w14:paraId="33B9D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51AA04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2026-2027</w:t>
            </w:r>
          </w:p>
          <w:p w14:paraId="79830DEB">
            <w:pPr>
              <w:spacing w:after="0" w:line="240" w:lineRule="auto"/>
              <w:rPr>
                <w:rFonts w:ascii="Times New Roman" w:hAnsi="Times New Roman" w:eastAsia="Calibri" w:cs="Times New Roman"/>
                <w:sz w:val="22"/>
                <w:szCs w:val="22"/>
                <w:lang w:val="sr-Cyrl-RS"/>
              </w:rPr>
            </w:pPr>
          </w:p>
        </w:tc>
      </w:tr>
      <w:tr w14:paraId="4BE45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7BDC90C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57AAFADB">
            <w:pPr>
              <w:widowControl w:val="0"/>
              <w:numPr>
                <w:ilvl w:val="0"/>
                <w:numId w:val="8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успостављена нова веб презентација града</w:t>
            </w:r>
          </w:p>
          <w:p w14:paraId="5566985F">
            <w:pPr>
              <w:widowControl w:val="0"/>
              <w:numPr>
                <w:ilvl w:val="0"/>
                <w:numId w:val="8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посета веб презентацији</w:t>
            </w:r>
          </w:p>
          <w:p w14:paraId="5BF0552B">
            <w:pPr>
              <w:widowControl w:val="0"/>
              <w:numPr>
                <w:ilvl w:val="0"/>
                <w:numId w:val="8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корисника који користе еУслуге</w:t>
            </w:r>
          </w:p>
          <w:p w14:paraId="2E00389A">
            <w:pPr>
              <w:widowControl w:val="0"/>
              <w:numPr>
                <w:ilvl w:val="0"/>
                <w:numId w:val="85"/>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ниво задовољства корисника веб презентацијом</w:t>
            </w:r>
          </w:p>
          <w:p w14:paraId="59882796">
            <w:pPr>
              <w:numPr>
                <w:ilvl w:val="0"/>
                <w:numId w:val="85"/>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објављених информација и ажурирања</w:t>
            </w:r>
          </w:p>
          <w:p w14:paraId="576395CF">
            <w:pPr>
              <w:spacing w:after="0" w:line="240" w:lineRule="auto"/>
              <w:rPr>
                <w:rFonts w:ascii="Times New Roman" w:hAnsi="Times New Roman" w:cs="Times New Roman"/>
                <w:bCs/>
                <w:sz w:val="22"/>
                <w:szCs w:val="22"/>
                <w:lang w:val="sr-Cyrl-RS"/>
              </w:rPr>
            </w:pPr>
          </w:p>
          <w:p w14:paraId="22770AC1">
            <w:pPr>
              <w:spacing w:after="0" w:line="240" w:lineRule="auto"/>
              <w:rPr>
                <w:rFonts w:ascii="Times New Roman" w:hAnsi="Times New Roman" w:cs="Times New Roman"/>
                <w:sz w:val="22"/>
                <w:szCs w:val="22"/>
                <w:lang w:val="sr-Cyrl-RS"/>
              </w:rPr>
            </w:pPr>
          </w:p>
        </w:tc>
      </w:tr>
    </w:tbl>
    <w:p w14:paraId="13161D18">
      <w:pPr>
        <w:spacing w:line="259" w:lineRule="auto"/>
        <w:rPr>
          <w:rFonts w:ascii="Times New Roman" w:hAnsi="Times New Roman" w:cs="Times New Roman"/>
          <w:sz w:val="22"/>
          <w:szCs w:val="22"/>
          <w:lang w:val="sr-Cyrl-RS"/>
        </w:rPr>
      </w:pPr>
    </w:p>
    <w:tbl>
      <w:tblPr>
        <w:tblStyle w:val="12"/>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5"/>
      </w:tblGrid>
      <w:tr w14:paraId="7377D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B79B5E3">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6.2 Информисање, комуникација са грађанима и едукација у циљу унапређења дигиталне писмености</w:t>
            </w:r>
          </w:p>
          <w:p w14:paraId="77437F4E">
            <w:pPr>
              <w:spacing w:after="0" w:line="240" w:lineRule="auto"/>
              <w:rPr>
                <w:rFonts w:ascii="Times New Roman" w:hAnsi="Times New Roman" w:eastAsia="Calibri" w:cs="Times New Roman"/>
                <w:sz w:val="22"/>
                <w:szCs w:val="22"/>
                <w:lang w:val="sr-Cyrl-RS"/>
              </w:rPr>
            </w:pPr>
          </w:p>
        </w:tc>
      </w:tr>
      <w:tr w14:paraId="33F8D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84897E0">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73F7617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6.2.3 Активности за промоцију е управе и Smart City концепта</w:t>
            </w:r>
          </w:p>
          <w:p w14:paraId="7463CE93">
            <w:pPr>
              <w:spacing w:after="0" w:line="240" w:lineRule="auto"/>
              <w:rPr>
                <w:rFonts w:ascii="Times New Roman" w:hAnsi="Times New Roman" w:cs="Times New Roman"/>
                <w:sz w:val="22"/>
                <w:szCs w:val="22"/>
                <w:lang w:val="sr-Cyrl-RS"/>
              </w:rPr>
            </w:pPr>
          </w:p>
        </w:tc>
      </w:tr>
      <w:tr w14:paraId="48AD8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CB95C4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1E16B092">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Медијска кампања о предностима е управе. Циљ ове мере је информисање грађана и привреде о предностиме е Управе.</w:t>
            </w:r>
          </w:p>
          <w:p w14:paraId="67808650">
            <w:pPr>
              <w:spacing w:after="0" w:line="240" w:lineRule="auto"/>
              <w:rPr>
                <w:rFonts w:ascii="Times New Roman" w:hAnsi="Times New Roman" w:cs="Times New Roman"/>
                <w:sz w:val="22"/>
                <w:szCs w:val="22"/>
                <w:lang w:val="sr-Cyrl-RS"/>
              </w:rPr>
            </w:pPr>
          </w:p>
        </w:tc>
      </w:tr>
      <w:tr w14:paraId="6F7F9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445" w:type="dxa"/>
          </w:tcPr>
          <w:p w14:paraId="44A7F9E4">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6.2.3.</w:t>
            </w:r>
          </w:p>
          <w:p w14:paraId="7B2A770B">
            <w:pPr>
              <w:widowControl w:val="0"/>
              <w:numPr>
                <w:ilvl w:val="0"/>
                <w:numId w:val="8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Медијска кампања о предностима еУправе ( на ТВ, преко друштвених мрежа, веб презентације, у ЈУМ-у)</w:t>
            </w:r>
          </w:p>
          <w:p w14:paraId="2725CB52">
            <w:pPr>
              <w:widowControl w:val="0"/>
              <w:numPr>
                <w:ilvl w:val="0"/>
                <w:numId w:val="8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веб странице за промоцију е-управе и Smart City концепта</w:t>
            </w:r>
          </w:p>
          <w:p w14:paraId="6FF5D909">
            <w:pPr>
              <w:widowControl w:val="0"/>
              <w:numPr>
                <w:ilvl w:val="0"/>
                <w:numId w:val="8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Анкетирање грађана после спроведених промотивних активности о познавању еУправе.</w:t>
            </w:r>
          </w:p>
          <w:p w14:paraId="45941CB7">
            <w:pPr>
              <w:widowControl w:val="0"/>
              <w:numPr>
                <w:ilvl w:val="0"/>
                <w:numId w:val="87"/>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Извештавање о унапређењу дигиталне писмености грађана и привреде.</w:t>
            </w:r>
          </w:p>
          <w:p w14:paraId="5E1E686D">
            <w:pPr>
              <w:spacing w:after="0" w:line="240" w:lineRule="auto"/>
              <w:ind w:left="720"/>
              <w:rPr>
                <w:rFonts w:ascii="Times New Roman" w:hAnsi="Times New Roman" w:cs="Times New Roman"/>
                <w:sz w:val="22"/>
                <w:szCs w:val="22"/>
                <w:lang w:val="sr-Cyrl-RS"/>
              </w:rPr>
            </w:pPr>
          </w:p>
          <w:p w14:paraId="4F991688">
            <w:pPr>
              <w:spacing w:after="0" w:line="240" w:lineRule="auto"/>
              <w:rPr>
                <w:rFonts w:ascii="Times New Roman" w:hAnsi="Times New Roman" w:cs="Times New Roman"/>
                <w:sz w:val="22"/>
                <w:szCs w:val="22"/>
                <w:lang w:val="sr-Cyrl-RS"/>
              </w:rPr>
            </w:pPr>
          </w:p>
          <w:p w14:paraId="3F023FB1">
            <w:pPr>
              <w:pStyle w:val="39"/>
              <w:spacing w:after="0" w:line="240" w:lineRule="auto"/>
              <w:contextualSpacing w:val="0"/>
              <w:rPr>
                <w:rFonts w:ascii="Times New Roman" w:hAnsi="Times New Roman" w:cs="Times New Roman"/>
                <w:sz w:val="22"/>
                <w:szCs w:val="22"/>
                <w:lang w:val="sr-Cyrl-RS"/>
              </w:rPr>
            </w:pPr>
          </w:p>
          <w:p w14:paraId="54522C70">
            <w:pPr>
              <w:spacing w:after="0" w:line="240" w:lineRule="auto"/>
              <w:rPr>
                <w:rFonts w:ascii="Times New Roman" w:hAnsi="Times New Roman" w:cs="Times New Roman"/>
                <w:sz w:val="22"/>
                <w:szCs w:val="22"/>
                <w:lang w:val="sr-Cyrl-RS"/>
              </w:rPr>
            </w:pPr>
          </w:p>
        </w:tc>
      </w:tr>
      <w:tr w14:paraId="0EA77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C81834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______________ЕУР ( период 2026-2030) </w:t>
            </w:r>
          </w:p>
          <w:p w14:paraId="5F95BE03">
            <w:pPr>
              <w:spacing w:after="0" w:line="240" w:lineRule="auto"/>
              <w:rPr>
                <w:rFonts w:ascii="Times New Roman" w:hAnsi="Times New Roman" w:eastAsia="Calibri" w:cs="Times New Roman"/>
                <w:sz w:val="22"/>
                <w:szCs w:val="22"/>
                <w:lang w:val="sr-Cyrl-RS"/>
              </w:rPr>
            </w:pPr>
          </w:p>
        </w:tc>
      </w:tr>
      <w:tr w14:paraId="331BC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8CE307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w:t>
            </w:r>
          </w:p>
          <w:p w14:paraId="2926085E">
            <w:pPr>
              <w:spacing w:after="0" w:line="240" w:lineRule="auto"/>
              <w:rPr>
                <w:rFonts w:ascii="Times New Roman" w:hAnsi="Times New Roman" w:eastAsia="Calibri" w:cs="Times New Roman"/>
                <w:bCs/>
                <w:sz w:val="22"/>
                <w:szCs w:val="22"/>
                <w:lang w:val="sr-Cyrl-RS"/>
              </w:rPr>
            </w:pPr>
          </w:p>
        </w:tc>
      </w:tr>
      <w:tr w14:paraId="51D50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CC9E723">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w:t>
            </w:r>
          </w:p>
          <w:p w14:paraId="78B4F983">
            <w:pPr>
              <w:spacing w:after="0" w:line="240" w:lineRule="auto"/>
              <w:rPr>
                <w:rFonts w:ascii="Times New Roman" w:hAnsi="Times New Roman" w:eastAsia="Calibri" w:cs="Times New Roman"/>
                <w:sz w:val="22"/>
                <w:szCs w:val="22"/>
                <w:lang w:val="sr-Cyrl-RS"/>
              </w:rPr>
            </w:pPr>
          </w:p>
        </w:tc>
      </w:tr>
      <w:tr w14:paraId="11199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73AAC004">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Партнери у реализацији: Канцеларија за информационе технологије и електронску управу</w:t>
            </w:r>
          </w:p>
          <w:p w14:paraId="78954233">
            <w:pPr>
              <w:spacing w:after="0" w:line="240" w:lineRule="auto"/>
              <w:rPr>
                <w:rFonts w:ascii="Times New Roman" w:hAnsi="Times New Roman" w:eastAsia="Calibri" w:cs="Times New Roman"/>
                <w:sz w:val="22"/>
                <w:szCs w:val="22"/>
                <w:lang w:val="sr-Cyrl-RS"/>
              </w:rPr>
            </w:pPr>
          </w:p>
        </w:tc>
      </w:tr>
      <w:tr w14:paraId="4C8CD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E8F41D2">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Циљне групе/корисници: Запослени у Градској управи</w:t>
            </w:r>
          </w:p>
          <w:p w14:paraId="78DCE010">
            <w:pPr>
              <w:spacing w:after="0" w:line="240" w:lineRule="auto"/>
              <w:rPr>
                <w:rFonts w:ascii="Times New Roman" w:hAnsi="Times New Roman" w:eastAsia="Calibri" w:cs="Times New Roman"/>
                <w:sz w:val="22"/>
                <w:szCs w:val="22"/>
                <w:lang w:val="sr-Cyrl-RS"/>
              </w:rPr>
            </w:pPr>
          </w:p>
        </w:tc>
      </w:tr>
      <w:tr w14:paraId="77872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12D86D6">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2026-2030</w:t>
            </w:r>
          </w:p>
          <w:p w14:paraId="5A9A965C">
            <w:pPr>
              <w:spacing w:after="0" w:line="240" w:lineRule="auto"/>
              <w:rPr>
                <w:rFonts w:ascii="Times New Roman" w:hAnsi="Times New Roman" w:eastAsia="Calibri" w:cs="Times New Roman"/>
                <w:sz w:val="22"/>
                <w:szCs w:val="22"/>
                <w:lang w:val="sr-Cyrl-RS"/>
              </w:rPr>
            </w:pPr>
          </w:p>
        </w:tc>
      </w:tr>
      <w:tr w14:paraId="1D310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5F15A9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672C2AF0">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анкетираних грађана</w:t>
            </w:r>
          </w:p>
          <w:p w14:paraId="24783738">
            <w:pPr>
              <w:widowControl w:val="0"/>
              <w:numPr>
                <w:ilvl w:val="0"/>
                <w:numId w:val="88"/>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Аудио и видео снимци</w:t>
            </w:r>
          </w:p>
          <w:p w14:paraId="32EB26C0">
            <w:pPr>
              <w:widowControl w:val="0"/>
              <w:numPr>
                <w:ilvl w:val="0"/>
                <w:numId w:val="88"/>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Веб презентација</w:t>
            </w:r>
          </w:p>
          <w:p w14:paraId="023A7190">
            <w:pPr>
              <w:spacing w:after="0" w:line="240" w:lineRule="auto"/>
              <w:rPr>
                <w:rFonts w:ascii="Times New Roman" w:hAnsi="Times New Roman" w:cs="Times New Roman"/>
                <w:bCs/>
                <w:sz w:val="22"/>
                <w:szCs w:val="22"/>
                <w:lang w:val="sr-Cyrl-RS"/>
              </w:rPr>
            </w:pPr>
          </w:p>
          <w:p w14:paraId="172364AD">
            <w:pPr>
              <w:spacing w:after="0" w:line="240" w:lineRule="auto"/>
              <w:rPr>
                <w:rFonts w:ascii="Times New Roman" w:hAnsi="Times New Roman" w:cs="Times New Roman"/>
                <w:bCs/>
                <w:sz w:val="22"/>
                <w:szCs w:val="22"/>
                <w:lang w:val="sr-Cyrl-RS"/>
              </w:rPr>
            </w:pPr>
          </w:p>
          <w:p w14:paraId="43D9FFA4">
            <w:pPr>
              <w:spacing w:after="0" w:line="240" w:lineRule="auto"/>
              <w:rPr>
                <w:rFonts w:ascii="Times New Roman" w:hAnsi="Times New Roman" w:cs="Times New Roman"/>
                <w:sz w:val="22"/>
                <w:szCs w:val="22"/>
                <w:lang w:val="sr-Cyrl-RS"/>
              </w:rPr>
            </w:pPr>
          </w:p>
        </w:tc>
      </w:tr>
    </w:tbl>
    <w:p w14:paraId="7D3E96D3">
      <w:pPr>
        <w:spacing w:after="0" w:line="240" w:lineRule="auto"/>
        <w:rPr>
          <w:rFonts w:ascii="Times New Roman" w:hAnsi="Times New Roman" w:cs="Times New Roman"/>
          <w:sz w:val="22"/>
          <w:szCs w:val="22"/>
          <w:lang w:val="sr-Cyrl-RS"/>
        </w:rPr>
      </w:pPr>
    </w:p>
    <w:p w14:paraId="652D2445">
      <w:pPr>
        <w:spacing w:after="0" w:line="240" w:lineRule="auto"/>
        <w:rPr>
          <w:rFonts w:ascii="Times New Roman" w:hAnsi="Times New Roman" w:cs="Times New Roman"/>
          <w:sz w:val="22"/>
          <w:szCs w:val="22"/>
          <w:lang w:val="sr-Cyrl-RS"/>
        </w:rPr>
      </w:pPr>
    </w:p>
    <w:p w14:paraId="0FD56295">
      <w:pPr>
        <w:spacing w:line="259" w:lineRule="auto"/>
        <w:rPr>
          <w:rFonts w:ascii="Times New Roman" w:hAnsi="Times New Roman" w:cs="Times New Roman"/>
          <w:sz w:val="22"/>
          <w:szCs w:val="22"/>
          <w:lang w:val="sr-Cyrl-RS"/>
        </w:rPr>
      </w:pPr>
      <w:r>
        <w:rPr>
          <w:rFonts w:ascii="Times New Roman" w:hAnsi="Times New Roman" w:cs="Times New Roman"/>
          <w:sz w:val="22"/>
          <w:szCs w:val="22"/>
          <w:lang w:val="sr-Cyrl-RS"/>
        </w:rPr>
        <w:br w:type="page"/>
      </w:r>
    </w:p>
    <w:tbl>
      <w:tblPr>
        <w:tblStyle w:val="12"/>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5"/>
      </w:tblGrid>
      <w:tr w14:paraId="0870E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83396BE">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6.2 Информисање, комуникација са грађанима и едукација у циљу унапређења дигиталне писмености</w:t>
            </w:r>
          </w:p>
          <w:p w14:paraId="3E2ABBBC">
            <w:pPr>
              <w:spacing w:after="0" w:line="240" w:lineRule="auto"/>
              <w:rPr>
                <w:rFonts w:ascii="Times New Roman" w:hAnsi="Times New Roman" w:eastAsia="Calibri" w:cs="Times New Roman"/>
                <w:sz w:val="22"/>
                <w:szCs w:val="22"/>
                <w:lang w:val="sr-Cyrl-RS"/>
              </w:rPr>
            </w:pPr>
          </w:p>
        </w:tc>
      </w:tr>
      <w:tr w14:paraId="10448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DF80E39">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60469EBC">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6.2.4 Успостављање и вођење база података у машински читљивом формату и редовно објављивање података на Порталу отворених података</w:t>
            </w:r>
          </w:p>
        </w:tc>
      </w:tr>
      <w:tr w14:paraId="0DD4E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EF7A9BB">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6E37260D">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транспарентности рада локалне самоуправе, подстицање иновација и боље управљање ресурсима кроз успостављање система за прикупљање, обраду и објављивање података у машински читљивом формату.</w:t>
            </w:r>
          </w:p>
          <w:p w14:paraId="54BBA6A0">
            <w:pPr>
              <w:spacing w:after="0" w:line="240" w:lineRule="auto"/>
              <w:rPr>
                <w:rFonts w:ascii="Times New Roman" w:hAnsi="Times New Roman" w:cs="Times New Roman"/>
                <w:sz w:val="22"/>
                <w:szCs w:val="22"/>
                <w:lang w:val="sr-Cyrl-RS"/>
              </w:rPr>
            </w:pPr>
          </w:p>
          <w:p w14:paraId="3DF4232A">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идентификацију приоритетних сетова података, успостављање стандарда за управљање подацима и редовно објављивање података на националном Порталу отворених података. Посебан акценат ставља се на квалитет, ажурност и доступност података, као и на њихову употребу за доношење одлука и развој нових услуга за грађане и привреду.</w:t>
            </w:r>
          </w:p>
          <w:p w14:paraId="59F5D055">
            <w:pPr>
              <w:spacing w:after="0" w:line="240" w:lineRule="auto"/>
              <w:rPr>
                <w:rFonts w:ascii="Times New Roman" w:hAnsi="Times New Roman" w:cs="Times New Roman"/>
                <w:sz w:val="22"/>
                <w:szCs w:val="22"/>
                <w:lang w:val="sr-Cyrl-RS"/>
              </w:rPr>
            </w:pPr>
          </w:p>
          <w:p w14:paraId="4646310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Применом ове мере омогућава се боље управљање информацијама, повећава транспарентност рада јавне управе и стварају услови за развој дигиталних услуга и иновација.</w:t>
            </w:r>
          </w:p>
        </w:tc>
      </w:tr>
      <w:tr w14:paraId="5DEE8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445" w:type="dxa"/>
          </w:tcPr>
          <w:p w14:paraId="3ABBE041">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6.2.4</w:t>
            </w:r>
          </w:p>
          <w:p w14:paraId="5496F92D">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Идентификација и каталогизација постојећих база података у органима локалне самоуправе и јавним предузећима.</w:t>
            </w:r>
          </w:p>
          <w:p w14:paraId="3EE20BD7">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Дефинисање стандарда за формат, структуру и ажурирање података у складу са националним смерницама за отворене податке.</w:t>
            </w:r>
          </w:p>
          <w:p w14:paraId="00ECFE71">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база података у машински читљивом формату (нпр. CSV, XLSX, JSON).</w:t>
            </w:r>
          </w:p>
          <w:p w14:paraId="1EE9E588">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Објављивање приоритетних сетова података на националном Порталу отворених података.</w:t>
            </w:r>
          </w:p>
          <w:p w14:paraId="0E1759E4">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Редовно ажурирање и одржавање база података.</w:t>
            </w:r>
          </w:p>
          <w:p w14:paraId="30E049BF">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Обука запослених за управљање подацима и коришћење стандарда отворених података.</w:t>
            </w:r>
          </w:p>
          <w:p w14:paraId="2779F247">
            <w:pPr>
              <w:widowControl w:val="0"/>
              <w:numPr>
                <w:ilvl w:val="0"/>
                <w:numId w:val="89"/>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Информисање јавности о доступним подацима и њиховој употреби.</w:t>
            </w:r>
          </w:p>
          <w:p w14:paraId="0C504D60">
            <w:pPr>
              <w:numPr>
                <w:ilvl w:val="0"/>
                <w:numId w:val="89"/>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коришћења података и унапређење система управљања подацима.</w:t>
            </w:r>
          </w:p>
          <w:p w14:paraId="7FB500D9">
            <w:pPr>
              <w:spacing w:after="0" w:line="240" w:lineRule="auto"/>
              <w:rPr>
                <w:rFonts w:ascii="Times New Roman" w:hAnsi="Times New Roman" w:cs="Times New Roman"/>
                <w:sz w:val="22"/>
                <w:szCs w:val="22"/>
                <w:lang w:val="sr-Cyrl-RS"/>
              </w:rPr>
            </w:pPr>
          </w:p>
        </w:tc>
      </w:tr>
      <w:tr w14:paraId="6769E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34002CF">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__ЕУР ( период 2026-2030) </w:t>
            </w:r>
          </w:p>
          <w:p w14:paraId="69B888ED">
            <w:pPr>
              <w:spacing w:after="0" w:line="240" w:lineRule="auto"/>
              <w:rPr>
                <w:rFonts w:ascii="Times New Roman" w:hAnsi="Times New Roman" w:eastAsia="Calibri" w:cs="Times New Roman"/>
                <w:sz w:val="22"/>
                <w:szCs w:val="22"/>
                <w:lang w:val="sr-Cyrl-RS"/>
              </w:rPr>
            </w:pPr>
          </w:p>
        </w:tc>
      </w:tr>
      <w:tr w14:paraId="747EA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414293B">
            <w:pPr>
              <w:spacing w:after="0" w:line="240" w:lineRule="auto"/>
              <w:rPr>
                <w:rFonts w:ascii="Times New Roman" w:hAnsi="Times New Roman" w:eastAsia="Calibri" w:cs="Times New Roman"/>
                <w:bCs/>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 Пирота, национални програми дигитализације јавне управе, донаторски програми, EU фондови, техничка подршка међународних организација.</w:t>
            </w:r>
          </w:p>
        </w:tc>
      </w:tr>
      <w:tr w14:paraId="16F6B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AC76587">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 и ИКТ одељење</w:t>
            </w:r>
          </w:p>
          <w:p w14:paraId="0E8ECA62">
            <w:pPr>
              <w:spacing w:after="0" w:line="240" w:lineRule="auto"/>
              <w:rPr>
                <w:rFonts w:ascii="Times New Roman" w:hAnsi="Times New Roman" w:eastAsia="Calibri" w:cs="Times New Roman"/>
                <w:sz w:val="22"/>
                <w:szCs w:val="22"/>
                <w:lang w:val="sr-Cyrl-RS"/>
              </w:rPr>
            </w:pPr>
          </w:p>
        </w:tc>
      </w:tr>
      <w:tr w14:paraId="20B87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22496C3">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Сви органи локалне самоуправе, јавна комунална предузећа, установе јавног сектора, надлежна министарства, организације цивилног друштва, Канцеларија за информационе технологије и електронску управу</w:t>
            </w:r>
          </w:p>
        </w:tc>
      </w:tr>
      <w:tr w14:paraId="0A6EC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F74445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Грађани, привредни субјекти, истраживачи, академска заједница, ИТ компаније, организације цивилног друштва.</w:t>
            </w:r>
          </w:p>
        </w:tc>
      </w:tr>
      <w:tr w14:paraId="6C23C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7D30495">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2026 – успостављање база података и почетак објављивања сетова података, 2027–2030 – редовно ажурирање и проширење обима података.</w:t>
            </w:r>
          </w:p>
          <w:p w14:paraId="5563AE55">
            <w:pPr>
              <w:spacing w:after="0" w:line="240" w:lineRule="auto"/>
              <w:rPr>
                <w:rFonts w:ascii="Times New Roman" w:hAnsi="Times New Roman" w:eastAsia="Calibri" w:cs="Times New Roman"/>
                <w:sz w:val="22"/>
                <w:szCs w:val="22"/>
                <w:lang w:val="sr-Cyrl-RS"/>
              </w:rPr>
            </w:pPr>
          </w:p>
        </w:tc>
      </w:tr>
      <w:tr w14:paraId="426BF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30D108E">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1740D70E">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успостављених база података у машински читљивом формату</w:t>
            </w:r>
          </w:p>
          <w:p w14:paraId="2D86E1CB">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објављених сетова података</w:t>
            </w:r>
          </w:p>
          <w:p w14:paraId="2A90FAF2">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редовно ажурираних сетова података</w:t>
            </w:r>
          </w:p>
          <w:p w14:paraId="16F7D35C">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корисника података</w:t>
            </w:r>
          </w:p>
          <w:p w14:paraId="3C7421CD">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институција које објављују податке</w:t>
            </w:r>
          </w:p>
          <w:p w14:paraId="4E4183D9">
            <w:pPr>
              <w:numPr>
                <w:ilvl w:val="0"/>
                <w:numId w:val="8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ниво транспарентности рада локалне самоуправе</w:t>
            </w:r>
          </w:p>
        </w:tc>
      </w:tr>
    </w:tbl>
    <w:p w14:paraId="42B6D96A">
      <w:pPr>
        <w:spacing w:after="0" w:line="240" w:lineRule="auto"/>
        <w:rPr>
          <w:rFonts w:ascii="Times New Roman" w:hAnsi="Times New Roman" w:cs="Times New Roman"/>
          <w:sz w:val="22"/>
          <w:szCs w:val="22"/>
          <w:lang w:val="sr-Cyrl-RS"/>
        </w:rPr>
      </w:pPr>
    </w:p>
    <w:p w14:paraId="7BBF9923">
      <w:pPr>
        <w:spacing w:after="0" w:line="240" w:lineRule="auto"/>
        <w:rPr>
          <w:rFonts w:ascii="Times New Roman" w:hAnsi="Times New Roman" w:cs="Times New Roman"/>
          <w:sz w:val="22"/>
          <w:szCs w:val="22"/>
          <w:lang w:val="sr-Cyrl-RS"/>
        </w:rPr>
      </w:pPr>
    </w:p>
    <w:tbl>
      <w:tblPr>
        <w:tblStyle w:val="12"/>
        <w:tblW w:w="9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5"/>
      </w:tblGrid>
      <w:tr w14:paraId="39D9E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0062C78F">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Приоритетни циљ (број/опис):</w:t>
            </w:r>
            <w:r>
              <w:rPr>
                <w:rFonts w:ascii="Times New Roman" w:hAnsi="Times New Roman" w:eastAsia="Calibri" w:cs="Times New Roman"/>
                <w:sz w:val="22"/>
                <w:szCs w:val="22"/>
                <w:lang w:val="sr-Cyrl-RS"/>
              </w:rPr>
              <w:t xml:space="preserve"> 6.2 Информисање, комуникација са грађанима и едукација у циљу унапређења дигиталне писмености</w:t>
            </w:r>
          </w:p>
          <w:p w14:paraId="688E6588">
            <w:pPr>
              <w:spacing w:after="0" w:line="240" w:lineRule="auto"/>
              <w:rPr>
                <w:rFonts w:ascii="Times New Roman" w:hAnsi="Times New Roman" w:eastAsia="Calibri" w:cs="Times New Roman"/>
                <w:sz w:val="22"/>
                <w:szCs w:val="22"/>
                <w:lang w:val="sr-Cyrl-RS"/>
              </w:rPr>
            </w:pPr>
          </w:p>
        </w:tc>
      </w:tr>
      <w:tr w14:paraId="195CB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78B927E6">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Мера/Пројекат (број/опис): </w:t>
            </w:r>
          </w:p>
          <w:p w14:paraId="723C963E">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6.2.5 Дигитално описмењавање свих категорија друштва</w:t>
            </w:r>
          </w:p>
        </w:tc>
      </w:tr>
      <w:tr w14:paraId="7ADE0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4687D88">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Опис мере/пројекта:</w:t>
            </w:r>
          </w:p>
          <w:p w14:paraId="07A48767">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има за циљ унапређење дигиталне писмености грађана и повећање коришћења електронских услуга кроз организовање едукација, информативних кампања и практичне подршке у коришћењу дигиталних алата и услуга.</w:t>
            </w:r>
          </w:p>
          <w:p w14:paraId="4DEB2859">
            <w:pPr>
              <w:spacing w:after="0" w:line="240" w:lineRule="auto"/>
              <w:rPr>
                <w:rFonts w:ascii="Times New Roman" w:hAnsi="Times New Roman" w:cs="Times New Roman"/>
                <w:sz w:val="22"/>
                <w:szCs w:val="22"/>
                <w:lang w:val="sr-Cyrl-RS"/>
              </w:rPr>
            </w:pPr>
          </w:p>
          <w:p w14:paraId="5177C56F">
            <w:p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Мера подразумева реализацију програма обуке за различите категорије становништва, укључујући старије особе, младе, незапослене, особе са инвалидитетом и друге осетљиве групе, као и пружање подршке у коришћењу електронских услуга локалне самоуправе и других јавних институција. Посебан акценат ставља се на безбедно коришћење интернета, заштиту личних података и практичну примену дигиталних технологија у свакодневном животу.</w:t>
            </w:r>
          </w:p>
        </w:tc>
      </w:tr>
      <w:tr w14:paraId="29771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9445" w:type="dxa"/>
          </w:tcPr>
          <w:p w14:paraId="334FDA12">
            <w:pPr>
              <w:spacing w:after="0" w:line="240" w:lineRule="auto"/>
              <w:rPr>
                <w:rFonts w:ascii="Times New Roman" w:hAnsi="Times New Roman" w:cs="Times New Roman"/>
                <w:sz w:val="22"/>
                <w:szCs w:val="22"/>
                <w:lang w:val="sr-Cyrl-RS"/>
              </w:rPr>
            </w:pPr>
            <w:r>
              <w:rPr>
                <w:rFonts w:ascii="Times New Roman" w:hAnsi="Times New Roman" w:eastAsia="Calibri" w:cs="Times New Roman"/>
                <w:b/>
                <w:bCs/>
                <w:sz w:val="22"/>
                <w:szCs w:val="22"/>
                <w:lang w:val="sr-Cyrl-RS"/>
              </w:rPr>
              <w:t>Активности 6.2.5</w:t>
            </w:r>
          </w:p>
          <w:p w14:paraId="196DA880">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Анализа нивоа дигиталне писмености становништва и идентификација приоритетних група за обуке.</w:t>
            </w:r>
          </w:p>
          <w:p w14:paraId="1EE606AD">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Израда програма обука за дигиталну писменост за различите категорије становништва.</w:t>
            </w:r>
          </w:p>
          <w:p w14:paraId="799ADBF5">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бесплатних радионица и обука за коришћење електронских услуга и дигиталних алата.</w:t>
            </w:r>
          </w:p>
          <w:p w14:paraId="44F54049">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Успостављање пунктова за подршку грађанима у коришћењу дигиталних услуга.</w:t>
            </w:r>
          </w:p>
          <w:p w14:paraId="0FB01B25">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Реализација информативних кампања о значају дигиталне писмености и безбедном коришћењу интернета.</w:t>
            </w:r>
          </w:p>
          <w:p w14:paraId="720E201F">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Сарадња са школама, библиотекама и организацијама цивилног друштва у реализацији програма обука.</w:t>
            </w:r>
          </w:p>
          <w:p w14:paraId="22F3429E">
            <w:pPr>
              <w:widowControl w:val="0"/>
              <w:numPr>
                <w:ilvl w:val="0"/>
                <w:numId w:val="90"/>
              </w:numPr>
              <w:suppressAutoHyphens/>
              <w:overflowPunct w:val="0"/>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Организација специјализованих обука за одређене групе (нпр. старије особе, предузетнике, пољопривреднике).</w:t>
            </w:r>
          </w:p>
          <w:p w14:paraId="694F7CE4">
            <w:pPr>
              <w:numPr>
                <w:ilvl w:val="0"/>
                <w:numId w:val="90"/>
              </w:numPr>
              <w:spacing w:after="0" w:line="240" w:lineRule="auto"/>
              <w:rPr>
                <w:rFonts w:ascii="Times New Roman" w:hAnsi="Times New Roman" w:cs="Times New Roman"/>
                <w:sz w:val="22"/>
                <w:szCs w:val="22"/>
                <w:lang w:val="sr-Cyrl-RS"/>
              </w:rPr>
            </w:pPr>
            <w:r>
              <w:rPr>
                <w:rFonts w:ascii="Times New Roman" w:hAnsi="Times New Roman" w:cs="Times New Roman"/>
                <w:sz w:val="22"/>
                <w:szCs w:val="22"/>
                <w:lang w:val="sr-Cyrl-RS"/>
              </w:rPr>
              <w:t>Праћење ефеката програма и унапређење активности.</w:t>
            </w:r>
          </w:p>
        </w:tc>
      </w:tr>
      <w:tr w14:paraId="23AF3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593A111C">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 xml:space="preserve">Процењена вредност 15.000 ЕУР (период 2027-2030) </w:t>
            </w:r>
          </w:p>
        </w:tc>
      </w:tr>
      <w:tr w14:paraId="2C2A3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14EB911A">
            <w:pPr>
              <w:spacing w:after="0" w:line="240" w:lineRule="auto"/>
              <w:rPr>
                <w:rFonts w:ascii="Times New Roman" w:hAnsi="Times New Roman" w:eastAsia="Calibri" w:cs="Times New Roman"/>
                <w:bCs/>
                <w:sz w:val="22"/>
                <w:szCs w:val="22"/>
                <w:lang w:val="sr-Cyrl-RS"/>
              </w:rPr>
            </w:pPr>
            <w:r>
              <w:rPr>
                <w:rFonts w:ascii="Times New Roman" w:hAnsi="Times New Roman" w:eastAsia="Calibri" w:cs="Times New Roman"/>
                <w:sz w:val="22"/>
                <w:szCs w:val="22"/>
                <w:lang w:val="sr-Cyrl-RS"/>
              </w:rPr>
              <w:t xml:space="preserve">Извори финансирања: </w:t>
            </w:r>
            <w:r>
              <w:rPr>
                <w:rFonts w:ascii="Times New Roman" w:hAnsi="Times New Roman" w:eastAsia="Calibri" w:cs="Times New Roman"/>
                <w:bCs/>
                <w:sz w:val="22"/>
                <w:szCs w:val="22"/>
                <w:lang w:val="sr-Cyrl-RS"/>
              </w:rPr>
              <w:t>Буџет Града Пирота, национални програми дигиталне трансформације, донаторски програми, EU фондови, партнерски пројекти.</w:t>
            </w:r>
          </w:p>
        </w:tc>
      </w:tr>
      <w:tr w14:paraId="0A3F7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6B95AE3E">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Носилац реализације: Градска управа, Одељење за општу управу и ИКТ одељење</w:t>
            </w:r>
          </w:p>
          <w:p w14:paraId="684A6CDE">
            <w:pPr>
              <w:spacing w:after="0" w:line="240" w:lineRule="auto"/>
              <w:rPr>
                <w:rFonts w:ascii="Times New Roman" w:hAnsi="Times New Roman" w:eastAsia="Calibri" w:cs="Times New Roman"/>
                <w:sz w:val="22"/>
                <w:szCs w:val="22"/>
                <w:lang w:val="sr-Cyrl-RS"/>
              </w:rPr>
            </w:pPr>
          </w:p>
        </w:tc>
      </w:tr>
      <w:tr w14:paraId="580ED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3F4513A1">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Партнери у реализацији: Образовне установе, библиотеке, организације цивилног друштва, ИТ компаније, установе културе, Канцеларија за ИТ и еУправу.</w:t>
            </w:r>
          </w:p>
        </w:tc>
      </w:tr>
      <w:tr w14:paraId="74B02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D4BEC2C">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Циљне групе/корисници: Грађани, старије особе, млади, незапослени, особе са инвалидитетом, предузетници, пољопривредници.</w:t>
            </w:r>
          </w:p>
        </w:tc>
      </w:tr>
      <w:tr w14:paraId="0627E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24A4574B">
            <w:pPr>
              <w:spacing w:after="0" w:line="240" w:lineRule="auto"/>
              <w:rPr>
                <w:rFonts w:ascii="Times New Roman" w:hAnsi="Times New Roman" w:cs="Times New Roman"/>
                <w:sz w:val="22"/>
                <w:szCs w:val="22"/>
                <w:lang w:val="sr-Cyrl-RS"/>
              </w:rPr>
            </w:pPr>
            <w:r>
              <w:rPr>
                <w:rFonts w:ascii="Times New Roman" w:hAnsi="Times New Roman" w:eastAsia="Calibri" w:cs="Times New Roman"/>
                <w:sz w:val="22"/>
                <w:szCs w:val="22"/>
                <w:lang w:val="sr-Cyrl-RS"/>
              </w:rPr>
              <w:t>Рок за реализацију: 2027 – анализа потреба и израда програма обука, 2027–2030 – континуирана реализација обука и информативних активности.</w:t>
            </w:r>
          </w:p>
          <w:p w14:paraId="4FB5A280">
            <w:pPr>
              <w:spacing w:after="0" w:line="240" w:lineRule="auto"/>
              <w:rPr>
                <w:rFonts w:ascii="Times New Roman" w:hAnsi="Times New Roman" w:eastAsia="Calibri" w:cs="Times New Roman"/>
                <w:sz w:val="22"/>
                <w:szCs w:val="22"/>
                <w:lang w:val="sr-Cyrl-RS"/>
              </w:rPr>
            </w:pPr>
          </w:p>
        </w:tc>
      </w:tr>
      <w:tr w14:paraId="7D100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5" w:type="dxa"/>
          </w:tcPr>
          <w:p w14:paraId="432B94E4">
            <w:pPr>
              <w:spacing w:after="0" w:line="240" w:lineRule="auto"/>
              <w:rPr>
                <w:rFonts w:ascii="Times New Roman" w:hAnsi="Times New Roman" w:eastAsia="Calibri" w:cs="Times New Roman"/>
                <w:sz w:val="22"/>
                <w:szCs w:val="22"/>
                <w:lang w:val="sr-Cyrl-RS"/>
              </w:rPr>
            </w:pPr>
            <w:r>
              <w:rPr>
                <w:rFonts w:ascii="Times New Roman" w:hAnsi="Times New Roman" w:eastAsia="Calibri" w:cs="Times New Roman"/>
                <w:sz w:val="22"/>
                <w:szCs w:val="22"/>
                <w:lang w:val="sr-Cyrl-RS"/>
              </w:rPr>
              <w:t xml:space="preserve">Показатељи: </w:t>
            </w:r>
          </w:p>
          <w:p w14:paraId="79FBBBDA">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реализованих обука</w:t>
            </w:r>
          </w:p>
          <w:p w14:paraId="49628FE8">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учесника у програмима дигиталне писмености</w:t>
            </w:r>
          </w:p>
          <w:p w14:paraId="65379EE8">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успостављених пунктова за подршку грађанима</w:t>
            </w:r>
          </w:p>
          <w:p w14:paraId="21D80C24">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број информативних кампања</w:t>
            </w:r>
          </w:p>
          <w:p w14:paraId="78567D18">
            <w:pPr>
              <w:widowControl w:val="0"/>
              <w:numPr>
                <w:ilvl w:val="0"/>
                <w:numId w:val="88"/>
              </w:numPr>
              <w:suppressAutoHyphens/>
              <w:overflowPunct w:val="0"/>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проценат грађана који користе електронске услуге</w:t>
            </w:r>
          </w:p>
          <w:p w14:paraId="2909EE84">
            <w:pPr>
              <w:numPr>
                <w:ilvl w:val="0"/>
                <w:numId w:val="88"/>
              </w:numPr>
              <w:spacing w:after="0" w:line="240" w:lineRule="auto"/>
              <w:rPr>
                <w:rFonts w:ascii="Times New Roman" w:hAnsi="Times New Roman" w:cs="Times New Roman"/>
                <w:bCs/>
                <w:sz w:val="22"/>
                <w:szCs w:val="22"/>
                <w:lang w:val="sr-Cyrl-RS"/>
              </w:rPr>
            </w:pPr>
            <w:r>
              <w:rPr>
                <w:rFonts w:ascii="Times New Roman" w:hAnsi="Times New Roman" w:cs="Times New Roman"/>
                <w:bCs/>
                <w:sz w:val="22"/>
                <w:szCs w:val="22"/>
                <w:lang w:val="sr-Cyrl-RS"/>
              </w:rPr>
              <w:t>ниво задовољства корисника програмима обуке</w:t>
            </w:r>
          </w:p>
        </w:tc>
      </w:tr>
    </w:tbl>
    <w:p w14:paraId="6BF2297D">
      <w:pPr>
        <w:spacing w:after="0" w:line="240" w:lineRule="auto"/>
        <w:rPr>
          <w:rFonts w:ascii="Times New Roman" w:hAnsi="Times New Roman" w:cs="Times New Roman"/>
          <w:sz w:val="22"/>
          <w:szCs w:val="22"/>
          <w:lang w:val="sr-Cyrl-RS"/>
        </w:rPr>
      </w:pPr>
    </w:p>
    <w:p w14:paraId="442E80D8">
      <w:pPr>
        <w:spacing w:after="0" w:line="240" w:lineRule="auto"/>
        <w:rPr>
          <w:rFonts w:ascii="Times New Roman" w:hAnsi="Times New Roman" w:cs="Times New Roman"/>
          <w:sz w:val="22"/>
          <w:szCs w:val="22"/>
          <w:lang w:val="sr-Cyrl-RS"/>
        </w:rPr>
      </w:pPr>
    </w:p>
    <w:p w14:paraId="2521A0E2">
      <w:pPr>
        <w:tabs>
          <w:tab w:val="left" w:pos="1418"/>
        </w:tabs>
        <w:rPr>
          <w:sz w:val="22"/>
          <w:szCs w:val="22"/>
          <w:lang w:val="sr-Cyrl-RS"/>
        </w:rPr>
      </w:pPr>
    </w:p>
    <w:sectPr>
      <w:headerReference r:id="rId10" w:type="first"/>
      <w:footerReference r:id="rId11" w:type="first"/>
      <w:pgSz w:w="11906" w:h="16838"/>
      <w:pgMar w:top="1440" w:right="1440" w:bottom="1440" w:left="1440" w:header="708" w:footer="708" w:gutter="0"/>
      <w:pgNumType w:start="1"/>
      <w:cols w:space="708" w:num="1"/>
      <w:titlePg/>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ptos">
    <w:altName w:val="Segoe UI"/>
    <w:panose1 w:val="00000000000000000000"/>
    <w:charset w:val="86"/>
    <w:family w:val="swiss"/>
    <w:pitch w:val="default"/>
    <w:sig w:usb0="00000000" w:usb1="00000000" w:usb2="00000000" w:usb3="00000000" w:csb0="0000019F" w:csb1="00000000"/>
  </w:font>
  <w:font w:name="Aptos">
    <w:altName w:val="Segoe UI"/>
    <w:panose1 w:val="00000000000000000000"/>
    <w:charset w:val="00"/>
    <w:family w:val="auto"/>
    <w:pitch w:val="default"/>
    <w:sig w:usb0="00000000" w:usb1="00000000" w:usb2="00000000" w:usb3="00000000" w:csb0="00000000" w:csb1="00000000"/>
  </w:font>
  <w:font w:name="等线 Light">
    <w:altName w:val="Liberation Mono"/>
    <w:panose1 w:val="00000000000000000000"/>
    <w:charset w:val="00"/>
    <w:family w:val="auto"/>
    <w:pitch w:val="default"/>
    <w:sig w:usb0="00000000" w:usb1="00000000" w:usb2="00000000" w:usb3="00000000" w:csb0="00000000" w:csb1="00000000"/>
  </w:font>
  <w:font w:name="Aptos Display">
    <w:altName w:val="Arial"/>
    <w:panose1 w:val="00000000000000000000"/>
    <w:charset w:val="00"/>
    <w:family w:val="swiss"/>
    <w:pitch w:val="default"/>
    <w:sig w:usb0="00000000" w:usb1="00000000" w:usb2="00000000" w:usb3="00000000" w:csb0="0000019F" w:csb1="00000000"/>
  </w:font>
  <w:font w:name="等线">
    <w:altName w:val="Microsoft YaHei"/>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Google Sans Text">
    <w:altName w:val="Liberation Mono"/>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NSimSun">
    <w:panose1 w:val="02010609030101010101"/>
    <w:charset w:val="86"/>
    <w:family w:val="modern"/>
    <w:pitch w:val="default"/>
    <w:sig w:usb0="00000203" w:usb1="288F0000" w:usb2="00000006" w:usb3="00000000" w:csb0="00040001" w:csb1="00000000"/>
  </w:font>
  <w:font w:name="OpenSymbol">
    <w:panose1 w:val="05010000000000000000"/>
    <w:charset w:val="01"/>
    <w:family w:val="auto"/>
    <w:pitch w:val="default"/>
    <w:sig w:usb0="800000AF" w:usb1="1001ECEA" w:usb2="00000000" w:usb3="00000000" w:csb0="8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D72CC0">
    <w:pPr>
      <w:pStyle w:val="14"/>
      <w:jc w:val="right"/>
      <w:rPr>
        <w:sz w:val="18"/>
      </w:rPr>
    </w:pPr>
  </w:p>
  <w:p w14:paraId="2BDCB9C9">
    <w:pPr>
      <w:pStyle w:val="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9821052"/>
      <w:docPartObj>
        <w:docPartGallery w:val="AutoText"/>
      </w:docPartObj>
    </w:sdtPr>
    <w:sdtEndPr>
      <w:rPr>
        <w:sz w:val="18"/>
      </w:rPr>
    </w:sdtEndPr>
    <w:sdtContent>
      <w:p w14:paraId="6007CA13">
        <w:pPr>
          <w:pStyle w:val="14"/>
          <w:jc w:val="right"/>
          <w:rPr>
            <w:sz w:val="18"/>
          </w:rPr>
        </w:pPr>
        <w:r>
          <w:rPr>
            <w:sz w:val="18"/>
          </w:rPr>
          <w:fldChar w:fldCharType="begin"/>
        </w:r>
        <w:r>
          <w:rPr>
            <w:sz w:val="18"/>
          </w:rPr>
          <w:instrText xml:space="preserve"> PAGE   \* MERGEFORMAT </w:instrText>
        </w:r>
        <w:r>
          <w:rPr>
            <w:sz w:val="18"/>
          </w:rPr>
          <w:fldChar w:fldCharType="separate"/>
        </w:r>
        <w:r>
          <w:rPr>
            <w:sz w:val="18"/>
          </w:rPr>
          <w:t>18</w:t>
        </w:r>
        <w:r>
          <w:rPr>
            <w:sz w:val="18"/>
          </w:rPr>
          <w:fldChar w:fldCharType="end"/>
        </w:r>
      </w:p>
    </w:sdtContent>
  </w:sdt>
  <w:p w14:paraId="25E018B7">
    <w:pPr>
      <w:pStyle w:val="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872AEE">
    <w:pPr>
      <w:pStyle w:val="1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75550518"/>
      <w:docPartObj>
        <w:docPartGallery w:val="AutoText"/>
      </w:docPartObj>
    </w:sdtPr>
    <w:sdtEndPr>
      <w:rPr>
        <w:sz w:val="20"/>
        <w:szCs w:val="20"/>
      </w:rPr>
    </w:sdtEndPr>
    <w:sdtContent>
      <w:p w14:paraId="6B51EAC5">
        <w:pPr>
          <w:pStyle w:val="14"/>
          <w:jc w:val="right"/>
          <w:rPr>
            <w:sz w:val="20"/>
            <w:szCs w:val="20"/>
          </w:rPr>
        </w:pPr>
        <w:r>
          <w:rPr>
            <w:sz w:val="20"/>
            <w:szCs w:val="20"/>
          </w:rPr>
          <w:fldChar w:fldCharType="begin"/>
        </w:r>
        <w:r>
          <w:rPr>
            <w:sz w:val="20"/>
            <w:szCs w:val="20"/>
          </w:rPr>
          <w:instrText xml:space="preserve"> PAGE   \* MERGEFORMAT </w:instrText>
        </w:r>
        <w:r>
          <w:rPr>
            <w:sz w:val="20"/>
            <w:szCs w:val="20"/>
          </w:rPr>
          <w:fldChar w:fldCharType="separate"/>
        </w:r>
        <w:r>
          <w:rPr>
            <w:sz w:val="20"/>
            <w:szCs w:val="20"/>
          </w:rPr>
          <w:t>1</w:t>
        </w:r>
        <w:r>
          <w:rPr>
            <w:sz w:val="20"/>
            <w:szCs w:val="20"/>
          </w:rPr>
          <w:fldChar w:fldCharType="end"/>
        </w:r>
      </w:p>
    </w:sdtContent>
  </w:sdt>
  <w:p w14:paraId="5FAB05E0">
    <w:pPr>
      <w:pStyle w:val="1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pPr>
        <w:spacing w:before="0" w:after="0" w:line="278" w:lineRule="auto"/>
      </w:pPr>
      <w:r>
        <w:separator/>
      </w:r>
    </w:p>
  </w:footnote>
  <w:footnote w:type="continuationSeparator" w:id="5">
    <w:p>
      <w:pPr>
        <w:spacing w:before="0" w:after="0" w:line="278" w:lineRule="auto"/>
      </w:pPr>
      <w:r>
        <w:continuationSeparator/>
      </w:r>
    </w:p>
  </w:footnote>
  <w:footnote w:id="0">
    <w:p w14:paraId="6A2E530B">
      <w:pPr>
        <w:pStyle w:val="16"/>
        <w:rPr>
          <w:i/>
        </w:rPr>
      </w:pPr>
      <w:r>
        <w:rPr>
          <w:rStyle w:val="15"/>
          <w:i/>
          <w:sz w:val="18"/>
        </w:rPr>
        <w:footnoteRef/>
      </w:r>
      <w:r>
        <w:rPr>
          <w:i/>
          <w:sz w:val="18"/>
        </w:rPr>
        <w:t xml:space="preserve"> СТЕМ програми (енгл. STEM – Science, Technology, Engineering, Mathematics) су образовни програми који интегришу природне науке, технологију, инжењерство и математику, са циљем развоја практичних, аналитичких и технолошких вештина које су неопходне за савремено тржиште рада и дигиталну економију.</w:t>
      </w:r>
    </w:p>
  </w:footnote>
  <w:footnote w:id="1">
    <w:p w14:paraId="00847A71">
      <w:pPr>
        <w:pStyle w:val="16"/>
        <w:rPr>
          <w:lang w:val="sr-Latn-RS"/>
        </w:rPr>
      </w:pPr>
      <w:r>
        <w:rPr>
          <w:rStyle w:val="15"/>
        </w:rPr>
        <w:footnoteRef/>
      </w:r>
      <w:r>
        <w:t xml:space="preserve"> ТCО (Total Cost of Ownership) представља укупан трошак власништва над паметним решењем, укључујући иницијалну инвестицију, трошкове имплементације, одржавања, лиценци, енергије, надоградњи и замене током целог животног циклуса система.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5526B5">
    <w:pPr>
      <w:pStyle w:val="1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EF3A6">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5E5EB0">
    <w:pPr>
      <w:pStyle w:val="1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3E58E8"/>
    <w:multiLevelType w:val="multilevel"/>
    <w:tmpl w:val="013E58E8"/>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
    <w:nsid w:val="029531B9"/>
    <w:multiLevelType w:val="multilevel"/>
    <w:tmpl w:val="029531B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04124C7F"/>
    <w:multiLevelType w:val="multilevel"/>
    <w:tmpl w:val="04124C7F"/>
    <w:lvl w:ilvl="0" w:tentative="0">
      <w:start w:val="1"/>
      <w:numFmt w:val="decimal"/>
      <w:lvlText w:val="%1."/>
      <w:lvlJc w:val="left"/>
      <w:pPr>
        <w:ind w:left="720" w:hanging="360"/>
      </w:pPr>
    </w:lvl>
    <w:lvl w:ilvl="1" w:tentative="0">
      <w:start w:val="1"/>
      <w:numFmt w:val="decimal"/>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04AB4220"/>
    <w:multiLevelType w:val="multilevel"/>
    <w:tmpl w:val="04AB4220"/>
    <w:lvl w:ilvl="0" w:tentative="0">
      <w:start w:val="1"/>
      <w:numFmt w:val="bullet"/>
      <w:lvlText w:val=""/>
      <w:lvlJc w:val="left"/>
      <w:pPr>
        <w:tabs>
          <w:tab w:val="left" w:pos="1440"/>
        </w:tabs>
        <w:ind w:left="1440" w:hanging="360"/>
      </w:pPr>
      <w:rPr>
        <w:rFonts w:hint="default" w:ascii="Symbol" w:hAnsi="Symbol" w:cs="Symbol"/>
      </w:rPr>
    </w:lvl>
    <w:lvl w:ilvl="1" w:tentative="0">
      <w:start w:val="1"/>
      <w:numFmt w:val="bullet"/>
      <w:lvlText w:val="◦"/>
      <w:lvlJc w:val="left"/>
      <w:pPr>
        <w:tabs>
          <w:tab w:val="left" w:pos="1800"/>
        </w:tabs>
        <w:ind w:left="1800" w:hanging="360"/>
      </w:pPr>
      <w:rPr>
        <w:rFonts w:hint="default" w:ascii="OpenSymbol" w:hAnsi="OpenSymbol" w:cs="OpenSymbol"/>
      </w:rPr>
    </w:lvl>
    <w:lvl w:ilvl="2" w:tentative="0">
      <w:start w:val="1"/>
      <w:numFmt w:val="bullet"/>
      <w:lvlText w:val="▪"/>
      <w:lvlJc w:val="left"/>
      <w:pPr>
        <w:tabs>
          <w:tab w:val="left" w:pos="2160"/>
        </w:tabs>
        <w:ind w:left="2160" w:hanging="360"/>
      </w:pPr>
      <w:rPr>
        <w:rFonts w:hint="default" w:ascii="OpenSymbol" w:hAnsi="OpenSymbol" w:cs="OpenSymbol"/>
      </w:rPr>
    </w:lvl>
    <w:lvl w:ilvl="3" w:tentative="0">
      <w:start w:val="1"/>
      <w:numFmt w:val="bullet"/>
      <w:lvlText w:val=""/>
      <w:lvlJc w:val="left"/>
      <w:pPr>
        <w:tabs>
          <w:tab w:val="left" w:pos="2520"/>
        </w:tabs>
        <w:ind w:left="2520" w:hanging="360"/>
      </w:pPr>
      <w:rPr>
        <w:rFonts w:hint="default" w:ascii="Symbol" w:hAnsi="Symbol" w:cs="Symbol"/>
      </w:rPr>
    </w:lvl>
    <w:lvl w:ilvl="4" w:tentative="0">
      <w:start w:val="1"/>
      <w:numFmt w:val="bullet"/>
      <w:lvlText w:val="◦"/>
      <w:lvlJc w:val="left"/>
      <w:pPr>
        <w:tabs>
          <w:tab w:val="left" w:pos="2880"/>
        </w:tabs>
        <w:ind w:left="2880" w:hanging="360"/>
      </w:pPr>
      <w:rPr>
        <w:rFonts w:hint="default" w:ascii="OpenSymbol" w:hAnsi="OpenSymbol" w:cs="OpenSymbol"/>
      </w:rPr>
    </w:lvl>
    <w:lvl w:ilvl="5" w:tentative="0">
      <w:start w:val="1"/>
      <w:numFmt w:val="bullet"/>
      <w:lvlText w:val="▪"/>
      <w:lvlJc w:val="left"/>
      <w:pPr>
        <w:tabs>
          <w:tab w:val="left" w:pos="3240"/>
        </w:tabs>
        <w:ind w:left="3240" w:hanging="360"/>
      </w:pPr>
      <w:rPr>
        <w:rFonts w:hint="default" w:ascii="OpenSymbol" w:hAnsi="OpenSymbol" w:cs="OpenSymbol"/>
      </w:rPr>
    </w:lvl>
    <w:lvl w:ilvl="6" w:tentative="0">
      <w:start w:val="1"/>
      <w:numFmt w:val="bullet"/>
      <w:lvlText w:val=""/>
      <w:lvlJc w:val="left"/>
      <w:pPr>
        <w:tabs>
          <w:tab w:val="left" w:pos="3600"/>
        </w:tabs>
        <w:ind w:left="3600" w:hanging="360"/>
      </w:pPr>
      <w:rPr>
        <w:rFonts w:hint="default" w:ascii="Symbol" w:hAnsi="Symbol" w:cs="Symbol"/>
      </w:rPr>
    </w:lvl>
    <w:lvl w:ilvl="7" w:tentative="0">
      <w:start w:val="1"/>
      <w:numFmt w:val="bullet"/>
      <w:lvlText w:val="◦"/>
      <w:lvlJc w:val="left"/>
      <w:pPr>
        <w:tabs>
          <w:tab w:val="left" w:pos="3960"/>
        </w:tabs>
        <w:ind w:left="3960" w:hanging="360"/>
      </w:pPr>
      <w:rPr>
        <w:rFonts w:hint="default" w:ascii="OpenSymbol" w:hAnsi="OpenSymbol" w:cs="OpenSymbol"/>
      </w:rPr>
    </w:lvl>
    <w:lvl w:ilvl="8" w:tentative="0">
      <w:start w:val="1"/>
      <w:numFmt w:val="bullet"/>
      <w:lvlText w:val="▪"/>
      <w:lvlJc w:val="left"/>
      <w:pPr>
        <w:tabs>
          <w:tab w:val="left" w:pos="4320"/>
        </w:tabs>
        <w:ind w:left="4320" w:hanging="360"/>
      </w:pPr>
      <w:rPr>
        <w:rFonts w:hint="default" w:ascii="OpenSymbol" w:hAnsi="OpenSymbol" w:cs="OpenSymbol"/>
      </w:rPr>
    </w:lvl>
  </w:abstractNum>
  <w:abstractNum w:abstractNumId="4">
    <w:nsid w:val="053278F1"/>
    <w:multiLevelType w:val="multilevel"/>
    <w:tmpl w:val="053278F1"/>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05B4760F"/>
    <w:multiLevelType w:val="multilevel"/>
    <w:tmpl w:val="05B4760F"/>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63955FB"/>
    <w:multiLevelType w:val="multilevel"/>
    <w:tmpl w:val="063955FB"/>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7">
    <w:nsid w:val="07A90445"/>
    <w:multiLevelType w:val="multilevel"/>
    <w:tmpl w:val="07A9044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
    <w:nsid w:val="09831CE5"/>
    <w:multiLevelType w:val="multilevel"/>
    <w:tmpl w:val="09831CE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0B9740ED"/>
    <w:multiLevelType w:val="multilevel"/>
    <w:tmpl w:val="0B9740ED"/>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BCC4C06"/>
    <w:multiLevelType w:val="multilevel"/>
    <w:tmpl w:val="0BCC4C0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1">
    <w:nsid w:val="0CFC5D1D"/>
    <w:multiLevelType w:val="multilevel"/>
    <w:tmpl w:val="0CFC5D1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2">
    <w:nsid w:val="10BB067C"/>
    <w:multiLevelType w:val="multilevel"/>
    <w:tmpl w:val="10BB067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3C77799"/>
    <w:multiLevelType w:val="multilevel"/>
    <w:tmpl w:val="13C7779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13DC0E0D"/>
    <w:multiLevelType w:val="multilevel"/>
    <w:tmpl w:val="13DC0E0D"/>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5">
    <w:nsid w:val="15C54A0B"/>
    <w:multiLevelType w:val="multilevel"/>
    <w:tmpl w:val="15C54A0B"/>
    <w:lvl w:ilvl="0" w:tentative="0">
      <w:start w:val="1"/>
      <w:numFmt w:val="decimal"/>
      <w:lvlText w:val="%1."/>
      <w:lvlJc w:val="left"/>
      <w:pPr>
        <w:ind w:left="360" w:hanging="360"/>
      </w:pPr>
      <w:rPr>
        <w:rFonts w:hint="default"/>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6">
    <w:nsid w:val="15D94E49"/>
    <w:multiLevelType w:val="multilevel"/>
    <w:tmpl w:val="15D94E4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18773E79"/>
    <w:multiLevelType w:val="multilevel"/>
    <w:tmpl w:val="18773E7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18">
    <w:nsid w:val="18884E5D"/>
    <w:multiLevelType w:val="multilevel"/>
    <w:tmpl w:val="18884E5D"/>
    <w:lvl w:ilvl="0" w:tentative="0">
      <w:start w:val="1"/>
      <w:numFmt w:val="bullet"/>
      <w:lvlText w:val=""/>
      <w:lvlJc w:val="left"/>
      <w:pPr>
        <w:ind w:left="1080" w:hanging="360"/>
      </w:pPr>
      <w:rPr>
        <w:rFonts w:hint="default" w:ascii="Symbol" w:hAnsi="Symbol" w:cs="Times New Roman" w:eastAsiaTheme="minorHAnsi"/>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9">
    <w:nsid w:val="199A50B0"/>
    <w:multiLevelType w:val="multilevel"/>
    <w:tmpl w:val="199A50B0"/>
    <w:lvl w:ilvl="0" w:tentative="0">
      <w:start w:val="0"/>
      <w:numFmt w:val="bullet"/>
      <w:lvlText w:val="•"/>
      <w:lvlJc w:val="left"/>
      <w:pPr>
        <w:ind w:left="1080" w:hanging="72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19CA1D47"/>
    <w:multiLevelType w:val="multilevel"/>
    <w:tmpl w:val="19CA1D47"/>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1A2F3F92"/>
    <w:multiLevelType w:val="multilevel"/>
    <w:tmpl w:val="1A2F3F92"/>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2">
    <w:nsid w:val="1DFC1167"/>
    <w:multiLevelType w:val="multilevel"/>
    <w:tmpl w:val="1DFC1167"/>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3">
    <w:nsid w:val="1EC234AE"/>
    <w:multiLevelType w:val="multilevel"/>
    <w:tmpl w:val="1EC234AE"/>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1F0A03DA"/>
    <w:multiLevelType w:val="multilevel"/>
    <w:tmpl w:val="1F0A03DA"/>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25">
    <w:nsid w:val="1F511E80"/>
    <w:multiLevelType w:val="multilevel"/>
    <w:tmpl w:val="1F511E80"/>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20D94EFB"/>
    <w:multiLevelType w:val="multilevel"/>
    <w:tmpl w:val="20D94EFB"/>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7">
    <w:nsid w:val="22F8404F"/>
    <w:multiLevelType w:val="multilevel"/>
    <w:tmpl w:val="22F840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8">
    <w:nsid w:val="22FF4BBA"/>
    <w:multiLevelType w:val="multilevel"/>
    <w:tmpl w:val="22FF4BB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9">
    <w:nsid w:val="230F41DE"/>
    <w:multiLevelType w:val="multilevel"/>
    <w:tmpl w:val="230F41D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248D79F1"/>
    <w:multiLevelType w:val="multilevel"/>
    <w:tmpl w:val="248D79F1"/>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1">
    <w:nsid w:val="29B94C6D"/>
    <w:multiLevelType w:val="multilevel"/>
    <w:tmpl w:val="29B94C6D"/>
    <w:lvl w:ilvl="0" w:tentative="0">
      <w:start w:val="1"/>
      <w:numFmt w:val="bullet"/>
      <w:lvlText w:val=""/>
      <w:lvlJc w:val="left"/>
      <w:pPr>
        <w:tabs>
          <w:tab w:val="left" w:pos="1440"/>
        </w:tabs>
        <w:ind w:left="1440" w:hanging="360"/>
      </w:pPr>
      <w:rPr>
        <w:rFonts w:hint="default" w:ascii="Symbol" w:hAnsi="Symbol" w:cs="Symbol"/>
      </w:rPr>
    </w:lvl>
    <w:lvl w:ilvl="1" w:tentative="0">
      <w:start w:val="1"/>
      <w:numFmt w:val="bullet"/>
      <w:lvlText w:val="◦"/>
      <w:lvlJc w:val="left"/>
      <w:pPr>
        <w:tabs>
          <w:tab w:val="left" w:pos="1800"/>
        </w:tabs>
        <w:ind w:left="1800" w:hanging="360"/>
      </w:pPr>
      <w:rPr>
        <w:rFonts w:hint="default" w:ascii="OpenSymbol" w:hAnsi="OpenSymbol" w:cs="OpenSymbol"/>
      </w:rPr>
    </w:lvl>
    <w:lvl w:ilvl="2" w:tentative="0">
      <w:start w:val="1"/>
      <w:numFmt w:val="bullet"/>
      <w:lvlText w:val="▪"/>
      <w:lvlJc w:val="left"/>
      <w:pPr>
        <w:tabs>
          <w:tab w:val="left" w:pos="2160"/>
        </w:tabs>
        <w:ind w:left="2160" w:hanging="360"/>
      </w:pPr>
      <w:rPr>
        <w:rFonts w:hint="default" w:ascii="OpenSymbol" w:hAnsi="OpenSymbol" w:cs="OpenSymbol"/>
      </w:rPr>
    </w:lvl>
    <w:lvl w:ilvl="3" w:tentative="0">
      <w:start w:val="1"/>
      <w:numFmt w:val="bullet"/>
      <w:lvlText w:val=""/>
      <w:lvlJc w:val="left"/>
      <w:pPr>
        <w:tabs>
          <w:tab w:val="left" w:pos="2520"/>
        </w:tabs>
        <w:ind w:left="2520" w:hanging="360"/>
      </w:pPr>
      <w:rPr>
        <w:rFonts w:hint="default" w:ascii="Symbol" w:hAnsi="Symbol" w:cs="Symbol"/>
      </w:rPr>
    </w:lvl>
    <w:lvl w:ilvl="4" w:tentative="0">
      <w:start w:val="1"/>
      <w:numFmt w:val="bullet"/>
      <w:lvlText w:val="◦"/>
      <w:lvlJc w:val="left"/>
      <w:pPr>
        <w:tabs>
          <w:tab w:val="left" w:pos="2880"/>
        </w:tabs>
        <w:ind w:left="2880" w:hanging="360"/>
      </w:pPr>
      <w:rPr>
        <w:rFonts w:hint="default" w:ascii="OpenSymbol" w:hAnsi="OpenSymbol" w:cs="OpenSymbol"/>
      </w:rPr>
    </w:lvl>
    <w:lvl w:ilvl="5" w:tentative="0">
      <w:start w:val="1"/>
      <w:numFmt w:val="bullet"/>
      <w:lvlText w:val="▪"/>
      <w:lvlJc w:val="left"/>
      <w:pPr>
        <w:tabs>
          <w:tab w:val="left" w:pos="3240"/>
        </w:tabs>
        <w:ind w:left="3240" w:hanging="360"/>
      </w:pPr>
      <w:rPr>
        <w:rFonts w:hint="default" w:ascii="OpenSymbol" w:hAnsi="OpenSymbol" w:cs="OpenSymbol"/>
      </w:rPr>
    </w:lvl>
    <w:lvl w:ilvl="6" w:tentative="0">
      <w:start w:val="1"/>
      <w:numFmt w:val="bullet"/>
      <w:lvlText w:val=""/>
      <w:lvlJc w:val="left"/>
      <w:pPr>
        <w:tabs>
          <w:tab w:val="left" w:pos="3600"/>
        </w:tabs>
        <w:ind w:left="3600" w:hanging="360"/>
      </w:pPr>
      <w:rPr>
        <w:rFonts w:hint="default" w:ascii="Symbol" w:hAnsi="Symbol" w:cs="Symbol"/>
      </w:rPr>
    </w:lvl>
    <w:lvl w:ilvl="7" w:tentative="0">
      <w:start w:val="1"/>
      <w:numFmt w:val="bullet"/>
      <w:lvlText w:val="◦"/>
      <w:lvlJc w:val="left"/>
      <w:pPr>
        <w:tabs>
          <w:tab w:val="left" w:pos="3960"/>
        </w:tabs>
        <w:ind w:left="3960" w:hanging="360"/>
      </w:pPr>
      <w:rPr>
        <w:rFonts w:hint="default" w:ascii="OpenSymbol" w:hAnsi="OpenSymbol" w:cs="OpenSymbol"/>
      </w:rPr>
    </w:lvl>
    <w:lvl w:ilvl="8" w:tentative="0">
      <w:start w:val="1"/>
      <w:numFmt w:val="bullet"/>
      <w:lvlText w:val="▪"/>
      <w:lvlJc w:val="left"/>
      <w:pPr>
        <w:tabs>
          <w:tab w:val="left" w:pos="4320"/>
        </w:tabs>
        <w:ind w:left="4320" w:hanging="360"/>
      </w:pPr>
      <w:rPr>
        <w:rFonts w:hint="default" w:ascii="OpenSymbol" w:hAnsi="OpenSymbol" w:cs="OpenSymbol"/>
      </w:rPr>
    </w:lvl>
  </w:abstractNum>
  <w:abstractNum w:abstractNumId="32">
    <w:nsid w:val="29FC627B"/>
    <w:multiLevelType w:val="multilevel"/>
    <w:tmpl w:val="29FC627B"/>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3">
    <w:nsid w:val="2D2649CC"/>
    <w:multiLevelType w:val="multilevel"/>
    <w:tmpl w:val="2D2649CC"/>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34">
    <w:nsid w:val="2D8751DC"/>
    <w:multiLevelType w:val="multilevel"/>
    <w:tmpl w:val="2D8751DC"/>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35">
    <w:nsid w:val="2E0E7C40"/>
    <w:multiLevelType w:val="multilevel"/>
    <w:tmpl w:val="2E0E7C4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6">
    <w:nsid w:val="30EC020F"/>
    <w:multiLevelType w:val="multilevel"/>
    <w:tmpl w:val="30EC020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7">
    <w:nsid w:val="335C1D15"/>
    <w:multiLevelType w:val="multilevel"/>
    <w:tmpl w:val="335C1D1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8">
    <w:nsid w:val="33BA2A31"/>
    <w:multiLevelType w:val="multilevel"/>
    <w:tmpl w:val="33BA2A31"/>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9">
    <w:nsid w:val="340B3684"/>
    <w:multiLevelType w:val="multilevel"/>
    <w:tmpl w:val="340B3684"/>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40">
    <w:nsid w:val="34B36BB9"/>
    <w:multiLevelType w:val="multilevel"/>
    <w:tmpl w:val="34B36BB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34C51535"/>
    <w:multiLevelType w:val="multilevel"/>
    <w:tmpl w:val="34C51535"/>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2">
    <w:nsid w:val="375B5F05"/>
    <w:multiLevelType w:val="multilevel"/>
    <w:tmpl w:val="375B5F05"/>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3">
    <w:nsid w:val="39275706"/>
    <w:multiLevelType w:val="multilevel"/>
    <w:tmpl w:val="39275706"/>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4">
    <w:nsid w:val="3B1020E3"/>
    <w:multiLevelType w:val="multilevel"/>
    <w:tmpl w:val="3B1020E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3B7E23BD"/>
    <w:multiLevelType w:val="multilevel"/>
    <w:tmpl w:val="3B7E23BD"/>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46">
    <w:nsid w:val="3BE50306"/>
    <w:multiLevelType w:val="multilevel"/>
    <w:tmpl w:val="3BE50306"/>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7">
    <w:nsid w:val="3C530771"/>
    <w:multiLevelType w:val="multilevel"/>
    <w:tmpl w:val="3C530771"/>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48">
    <w:nsid w:val="3E64322A"/>
    <w:multiLevelType w:val="multilevel"/>
    <w:tmpl w:val="3E64322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9">
    <w:nsid w:val="42B43462"/>
    <w:multiLevelType w:val="multilevel"/>
    <w:tmpl w:val="42B43462"/>
    <w:lvl w:ilvl="0" w:tentative="0">
      <w:start w:val="1"/>
      <w:numFmt w:val="decimal"/>
      <w:lvlText w:val="%1."/>
      <w:lvlJc w:val="left"/>
      <w:pPr>
        <w:tabs>
          <w:tab w:val="left" w:pos="616"/>
        </w:tabs>
        <w:ind w:left="616" w:hanging="360"/>
      </w:pPr>
      <w:rPr>
        <w:color w:val="auto"/>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0">
    <w:nsid w:val="43CC349F"/>
    <w:multiLevelType w:val="multilevel"/>
    <w:tmpl w:val="43CC34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43975A8"/>
    <w:multiLevelType w:val="multilevel"/>
    <w:tmpl w:val="443975A8"/>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4444189B"/>
    <w:multiLevelType w:val="multilevel"/>
    <w:tmpl w:val="4444189B"/>
    <w:lvl w:ilvl="0" w:tentative="0">
      <w:start w:val="1"/>
      <w:numFmt w:val="decimal"/>
      <w:lvlText w:val="%1."/>
      <w:lvlJc w:val="left"/>
      <w:pPr>
        <w:ind w:left="360" w:hanging="360"/>
      </w:pPr>
      <w:rPr>
        <w:rFonts w:hint="default"/>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53">
    <w:nsid w:val="44AB1850"/>
    <w:multiLevelType w:val="multilevel"/>
    <w:tmpl w:val="44AB185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54">
    <w:nsid w:val="46450F24"/>
    <w:multiLevelType w:val="multilevel"/>
    <w:tmpl w:val="46450F2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5">
    <w:nsid w:val="4A270CE4"/>
    <w:multiLevelType w:val="multilevel"/>
    <w:tmpl w:val="4A270CE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BAB3397"/>
    <w:multiLevelType w:val="multilevel"/>
    <w:tmpl w:val="4BAB3397"/>
    <w:lvl w:ilvl="0" w:tentative="0">
      <w:start w:val="1"/>
      <w:numFmt w:val="bullet"/>
      <w:lvlText w:val=""/>
      <w:lvlJc w:val="left"/>
      <w:pPr>
        <w:ind w:left="720" w:hanging="360"/>
      </w:pPr>
      <w:rPr>
        <w:rFonts w:hint="default" w:ascii="Symbol" w:hAnsi="Symbol"/>
      </w:rPr>
    </w:lvl>
    <w:lvl w:ilvl="1" w:tentative="0">
      <w:start w:val="1"/>
      <w:numFmt w:val="decimal"/>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7">
    <w:nsid w:val="4C437628"/>
    <w:multiLevelType w:val="multilevel"/>
    <w:tmpl w:val="4C437628"/>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4F0C57AA"/>
    <w:multiLevelType w:val="multilevel"/>
    <w:tmpl w:val="4F0C57AA"/>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9">
    <w:nsid w:val="4FAD6A66"/>
    <w:multiLevelType w:val="multilevel"/>
    <w:tmpl w:val="4FAD6A66"/>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0">
    <w:nsid w:val="529D29C2"/>
    <w:multiLevelType w:val="multilevel"/>
    <w:tmpl w:val="529D29C2"/>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1">
    <w:nsid w:val="53193A39"/>
    <w:multiLevelType w:val="multilevel"/>
    <w:tmpl w:val="53193A3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53B57EA3"/>
    <w:multiLevelType w:val="multilevel"/>
    <w:tmpl w:val="53B57E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464568E"/>
    <w:multiLevelType w:val="multilevel"/>
    <w:tmpl w:val="5464568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4">
    <w:nsid w:val="54FF776A"/>
    <w:multiLevelType w:val="multilevel"/>
    <w:tmpl w:val="54FF776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5">
    <w:nsid w:val="56DA3EF0"/>
    <w:multiLevelType w:val="multilevel"/>
    <w:tmpl w:val="56DA3EF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6">
    <w:nsid w:val="5819102A"/>
    <w:multiLevelType w:val="multilevel"/>
    <w:tmpl w:val="5819102A"/>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67">
    <w:nsid w:val="58D80DF0"/>
    <w:multiLevelType w:val="multilevel"/>
    <w:tmpl w:val="58D80DF0"/>
    <w:lvl w:ilvl="0" w:tentative="0">
      <w:start w:val="1"/>
      <w:numFmt w:val="bullet"/>
      <w:lvlText w:val=""/>
      <w:lvlJc w:val="left"/>
      <w:pPr>
        <w:tabs>
          <w:tab w:val="left" w:pos="720"/>
        </w:tabs>
        <w:ind w:left="720" w:hanging="360"/>
      </w:pPr>
      <w:rPr>
        <w:rFonts w:hint="default" w:ascii="Symbol" w:hAnsi="Symbol"/>
        <w:sz w:val="20"/>
      </w:rPr>
    </w:lvl>
    <w:lvl w:ilvl="1" w:tentative="0">
      <w:start w:val="0"/>
      <w:numFmt w:val="bullet"/>
      <w:lvlText w:val="•"/>
      <w:lvlJc w:val="left"/>
      <w:pPr>
        <w:ind w:left="1440" w:hanging="360"/>
      </w:pPr>
      <w:rPr>
        <w:rFonts w:hint="default" w:ascii="Times New Roman" w:hAnsi="Times New Roman" w:eastAsia="Times New Roman" w:cs="Times New Roman"/>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8">
    <w:nsid w:val="59764D47"/>
    <w:multiLevelType w:val="multilevel"/>
    <w:tmpl w:val="59764D47"/>
    <w:lvl w:ilvl="0" w:tentative="0">
      <w:start w:val="1"/>
      <w:numFmt w:val="bullet"/>
      <w:lvlText w:val=""/>
      <w:lvlJc w:val="left"/>
      <w:pPr>
        <w:tabs>
          <w:tab w:val="left" w:pos="1440"/>
        </w:tabs>
        <w:ind w:left="1440" w:hanging="360"/>
      </w:pPr>
      <w:rPr>
        <w:rFonts w:hint="default" w:ascii="Symbol" w:hAnsi="Symbol" w:cs="Symbol"/>
      </w:rPr>
    </w:lvl>
    <w:lvl w:ilvl="1" w:tentative="0">
      <w:start w:val="1"/>
      <w:numFmt w:val="bullet"/>
      <w:lvlText w:val="◦"/>
      <w:lvlJc w:val="left"/>
      <w:pPr>
        <w:tabs>
          <w:tab w:val="left" w:pos="1800"/>
        </w:tabs>
        <w:ind w:left="1800" w:hanging="360"/>
      </w:pPr>
      <w:rPr>
        <w:rFonts w:hint="default" w:ascii="OpenSymbol" w:hAnsi="OpenSymbol" w:cs="OpenSymbol"/>
      </w:rPr>
    </w:lvl>
    <w:lvl w:ilvl="2" w:tentative="0">
      <w:start w:val="1"/>
      <w:numFmt w:val="bullet"/>
      <w:lvlText w:val="▪"/>
      <w:lvlJc w:val="left"/>
      <w:pPr>
        <w:tabs>
          <w:tab w:val="left" w:pos="2160"/>
        </w:tabs>
        <w:ind w:left="2160" w:hanging="360"/>
      </w:pPr>
      <w:rPr>
        <w:rFonts w:hint="default" w:ascii="OpenSymbol" w:hAnsi="OpenSymbol" w:cs="OpenSymbol"/>
      </w:rPr>
    </w:lvl>
    <w:lvl w:ilvl="3" w:tentative="0">
      <w:start w:val="1"/>
      <w:numFmt w:val="bullet"/>
      <w:lvlText w:val=""/>
      <w:lvlJc w:val="left"/>
      <w:pPr>
        <w:tabs>
          <w:tab w:val="left" w:pos="2520"/>
        </w:tabs>
        <w:ind w:left="2520" w:hanging="360"/>
      </w:pPr>
      <w:rPr>
        <w:rFonts w:hint="default" w:ascii="Symbol" w:hAnsi="Symbol" w:cs="Symbol"/>
      </w:rPr>
    </w:lvl>
    <w:lvl w:ilvl="4" w:tentative="0">
      <w:start w:val="1"/>
      <w:numFmt w:val="bullet"/>
      <w:lvlText w:val="◦"/>
      <w:lvlJc w:val="left"/>
      <w:pPr>
        <w:tabs>
          <w:tab w:val="left" w:pos="2880"/>
        </w:tabs>
        <w:ind w:left="2880" w:hanging="360"/>
      </w:pPr>
      <w:rPr>
        <w:rFonts w:hint="default" w:ascii="OpenSymbol" w:hAnsi="OpenSymbol" w:cs="OpenSymbol"/>
      </w:rPr>
    </w:lvl>
    <w:lvl w:ilvl="5" w:tentative="0">
      <w:start w:val="1"/>
      <w:numFmt w:val="bullet"/>
      <w:lvlText w:val="▪"/>
      <w:lvlJc w:val="left"/>
      <w:pPr>
        <w:tabs>
          <w:tab w:val="left" w:pos="3240"/>
        </w:tabs>
        <w:ind w:left="3240" w:hanging="360"/>
      </w:pPr>
      <w:rPr>
        <w:rFonts w:hint="default" w:ascii="OpenSymbol" w:hAnsi="OpenSymbol" w:cs="OpenSymbol"/>
      </w:rPr>
    </w:lvl>
    <w:lvl w:ilvl="6" w:tentative="0">
      <w:start w:val="1"/>
      <w:numFmt w:val="bullet"/>
      <w:lvlText w:val=""/>
      <w:lvlJc w:val="left"/>
      <w:pPr>
        <w:tabs>
          <w:tab w:val="left" w:pos="3600"/>
        </w:tabs>
        <w:ind w:left="3600" w:hanging="360"/>
      </w:pPr>
      <w:rPr>
        <w:rFonts w:hint="default" w:ascii="Symbol" w:hAnsi="Symbol" w:cs="Symbol"/>
      </w:rPr>
    </w:lvl>
    <w:lvl w:ilvl="7" w:tentative="0">
      <w:start w:val="1"/>
      <w:numFmt w:val="bullet"/>
      <w:lvlText w:val="◦"/>
      <w:lvlJc w:val="left"/>
      <w:pPr>
        <w:tabs>
          <w:tab w:val="left" w:pos="3960"/>
        </w:tabs>
        <w:ind w:left="3960" w:hanging="360"/>
      </w:pPr>
      <w:rPr>
        <w:rFonts w:hint="default" w:ascii="OpenSymbol" w:hAnsi="OpenSymbol" w:cs="OpenSymbol"/>
      </w:rPr>
    </w:lvl>
    <w:lvl w:ilvl="8" w:tentative="0">
      <w:start w:val="1"/>
      <w:numFmt w:val="bullet"/>
      <w:lvlText w:val="▪"/>
      <w:lvlJc w:val="left"/>
      <w:pPr>
        <w:tabs>
          <w:tab w:val="left" w:pos="4320"/>
        </w:tabs>
        <w:ind w:left="4320" w:hanging="360"/>
      </w:pPr>
      <w:rPr>
        <w:rFonts w:hint="default" w:ascii="OpenSymbol" w:hAnsi="OpenSymbol" w:cs="OpenSymbol"/>
      </w:rPr>
    </w:lvl>
  </w:abstractNum>
  <w:abstractNum w:abstractNumId="69">
    <w:nsid w:val="59A022F0"/>
    <w:multiLevelType w:val="multilevel"/>
    <w:tmpl w:val="59A022F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70">
    <w:nsid w:val="5B6F0DEE"/>
    <w:multiLevelType w:val="multilevel"/>
    <w:tmpl w:val="5B6F0DE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1">
    <w:nsid w:val="6291251D"/>
    <w:multiLevelType w:val="multilevel"/>
    <w:tmpl w:val="6291251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2">
    <w:nsid w:val="62BD48B2"/>
    <w:multiLevelType w:val="multilevel"/>
    <w:tmpl w:val="62BD48B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3">
    <w:nsid w:val="65442F75"/>
    <w:multiLevelType w:val="multilevel"/>
    <w:tmpl w:val="65442F75"/>
    <w:lvl w:ilvl="0" w:tentative="0">
      <w:start w:val="1"/>
      <w:numFmt w:val="bullet"/>
      <w:lvlText w:val=""/>
      <w:lvlJc w:val="left"/>
      <w:pPr>
        <w:tabs>
          <w:tab w:val="left" w:pos="1440"/>
        </w:tabs>
        <w:ind w:left="1440" w:hanging="360"/>
      </w:pPr>
      <w:rPr>
        <w:rFonts w:hint="default" w:ascii="Symbol" w:hAnsi="Symbol" w:cs="Symbol"/>
      </w:rPr>
    </w:lvl>
    <w:lvl w:ilvl="1" w:tentative="0">
      <w:start w:val="1"/>
      <w:numFmt w:val="bullet"/>
      <w:lvlText w:val="◦"/>
      <w:lvlJc w:val="left"/>
      <w:pPr>
        <w:tabs>
          <w:tab w:val="left" w:pos="1800"/>
        </w:tabs>
        <w:ind w:left="1800" w:hanging="360"/>
      </w:pPr>
      <w:rPr>
        <w:rFonts w:hint="default" w:ascii="OpenSymbol" w:hAnsi="OpenSymbol" w:cs="OpenSymbol"/>
      </w:rPr>
    </w:lvl>
    <w:lvl w:ilvl="2" w:tentative="0">
      <w:start w:val="1"/>
      <w:numFmt w:val="bullet"/>
      <w:lvlText w:val="▪"/>
      <w:lvlJc w:val="left"/>
      <w:pPr>
        <w:tabs>
          <w:tab w:val="left" w:pos="2160"/>
        </w:tabs>
        <w:ind w:left="2160" w:hanging="360"/>
      </w:pPr>
      <w:rPr>
        <w:rFonts w:hint="default" w:ascii="OpenSymbol" w:hAnsi="OpenSymbol" w:cs="OpenSymbol"/>
      </w:rPr>
    </w:lvl>
    <w:lvl w:ilvl="3" w:tentative="0">
      <w:start w:val="1"/>
      <w:numFmt w:val="bullet"/>
      <w:lvlText w:val=""/>
      <w:lvlJc w:val="left"/>
      <w:pPr>
        <w:tabs>
          <w:tab w:val="left" w:pos="2520"/>
        </w:tabs>
        <w:ind w:left="2520" w:hanging="360"/>
      </w:pPr>
      <w:rPr>
        <w:rFonts w:hint="default" w:ascii="Symbol" w:hAnsi="Symbol" w:cs="Symbol"/>
      </w:rPr>
    </w:lvl>
    <w:lvl w:ilvl="4" w:tentative="0">
      <w:start w:val="1"/>
      <w:numFmt w:val="bullet"/>
      <w:lvlText w:val="◦"/>
      <w:lvlJc w:val="left"/>
      <w:pPr>
        <w:tabs>
          <w:tab w:val="left" w:pos="2880"/>
        </w:tabs>
        <w:ind w:left="2880" w:hanging="360"/>
      </w:pPr>
      <w:rPr>
        <w:rFonts w:hint="default" w:ascii="OpenSymbol" w:hAnsi="OpenSymbol" w:cs="OpenSymbol"/>
      </w:rPr>
    </w:lvl>
    <w:lvl w:ilvl="5" w:tentative="0">
      <w:start w:val="1"/>
      <w:numFmt w:val="bullet"/>
      <w:lvlText w:val="▪"/>
      <w:lvlJc w:val="left"/>
      <w:pPr>
        <w:tabs>
          <w:tab w:val="left" w:pos="3240"/>
        </w:tabs>
        <w:ind w:left="3240" w:hanging="360"/>
      </w:pPr>
      <w:rPr>
        <w:rFonts w:hint="default" w:ascii="OpenSymbol" w:hAnsi="OpenSymbol" w:cs="OpenSymbol"/>
      </w:rPr>
    </w:lvl>
    <w:lvl w:ilvl="6" w:tentative="0">
      <w:start w:val="1"/>
      <w:numFmt w:val="bullet"/>
      <w:lvlText w:val=""/>
      <w:lvlJc w:val="left"/>
      <w:pPr>
        <w:tabs>
          <w:tab w:val="left" w:pos="3600"/>
        </w:tabs>
        <w:ind w:left="3600" w:hanging="360"/>
      </w:pPr>
      <w:rPr>
        <w:rFonts w:hint="default" w:ascii="Symbol" w:hAnsi="Symbol" w:cs="Symbol"/>
      </w:rPr>
    </w:lvl>
    <w:lvl w:ilvl="7" w:tentative="0">
      <w:start w:val="1"/>
      <w:numFmt w:val="bullet"/>
      <w:lvlText w:val="◦"/>
      <w:lvlJc w:val="left"/>
      <w:pPr>
        <w:tabs>
          <w:tab w:val="left" w:pos="3960"/>
        </w:tabs>
        <w:ind w:left="3960" w:hanging="360"/>
      </w:pPr>
      <w:rPr>
        <w:rFonts w:hint="default" w:ascii="OpenSymbol" w:hAnsi="OpenSymbol" w:cs="OpenSymbol"/>
      </w:rPr>
    </w:lvl>
    <w:lvl w:ilvl="8" w:tentative="0">
      <w:start w:val="1"/>
      <w:numFmt w:val="bullet"/>
      <w:lvlText w:val="▪"/>
      <w:lvlJc w:val="left"/>
      <w:pPr>
        <w:tabs>
          <w:tab w:val="left" w:pos="4320"/>
        </w:tabs>
        <w:ind w:left="4320" w:hanging="360"/>
      </w:pPr>
      <w:rPr>
        <w:rFonts w:hint="default" w:ascii="OpenSymbol" w:hAnsi="OpenSymbol" w:cs="OpenSymbol"/>
      </w:rPr>
    </w:lvl>
  </w:abstractNum>
  <w:abstractNum w:abstractNumId="74">
    <w:nsid w:val="656B165F"/>
    <w:multiLevelType w:val="multilevel"/>
    <w:tmpl w:val="656B165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5">
    <w:nsid w:val="69F06A42"/>
    <w:multiLevelType w:val="multilevel"/>
    <w:tmpl w:val="69F06A42"/>
    <w:lvl w:ilvl="0" w:tentative="0">
      <w:start w:val="1"/>
      <w:numFmt w:val="bullet"/>
      <w:lvlText w:val=""/>
      <w:lvlJc w:val="left"/>
      <w:pPr>
        <w:tabs>
          <w:tab w:val="left" w:pos="1440"/>
        </w:tabs>
        <w:ind w:left="1440" w:hanging="360"/>
      </w:pPr>
      <w:rPr>
        <w:rFonts w:hint="default" w:ascii="Symbol" w:hAnsi="Symbol" w:cs="Symbol"/>
      </w:rPr>
    </w:lvl>
    <w:lvl w:ilvl="1" w:tentative="0">
      <w:start w:val="1"/>
      <w:numFmt w:val="bullet"/>
      <w:lvlText w:val="◦"/>
      <w:lvlJc w:val="left"/>
      <w:pPr>
        <w:tabs>
          <w:tab w:val="left" w:pos="1800"/>
        </w:tabs>
        <w:ind w:left="1800" w:hanging="360"/>
      </w:pPr>
      <w:rPr>
        <w:rFonts w:hint="default" w:ascii="OpenSymbol" w:hAnsi="OpenSymbol" w:cs="OpenSymbol"/>
      </w:rPr>
    </w:lvl>
    <w:lvl w:ilvl="2" w:tentative="0">
      <w:start w:val="1"/>
      <w:numFmt w:val="bullet"/>
      <w:lvlText w:val="▪"/>
      <w:lvlJc w:val="left"/>
      <w:pPr>
        <w:tabs>
          <w:tab w:val="left" w:pos="2160"/>
        </w:tabs>
        <w:ind w:left="2160" w:hanging="360"/>
      </w:pPr>
      <w:rPr>
        <w:rFonts w:hint="default" w:ascii="OpenSymbol" w:hAnsi="OpenSymbol" w:cs="OpenSymbol"/>
      </w:rPr>
    </w:lvl>
    <w:lvl w:ilvl="3" w:tentative="0">
      <w:start w:val="1"/>
      <w:numFmt w:val="bullet"/>
      <w:lvlText w:val=""/>
      <w:lvlJc w:val="left"/>
      <w:pPr>
        <w:tabs>
          <w:tab w:val="left" w:pos="2520"/>
        </w:tabs>
        <w:ind w:left="2520" w:hanging="360"/>
      </w:pPr>
      <w:rPr>
        <w:rFonts w:hint="default" w:ascii="Symbol" w:hAnsi="Symbol" w:cs="Symbol"/>
      </w:rPr>
    </w:lvl>
    <w:lvl w:ilvl="4" w:tentative="0">
      <w:start w:val="1"/>
      <w:numFmt w:val="bullet"/>
      <w:lvlText w:val="◦"/>
      <w:lvlJc w:val="left"/>
      <w:pPr>
        <w:tabs>
          <w:tab w:val="left" w:pos="2880"/>
        </w:tabs>
        <w:ind w:left="2880" w:hanging="360"/>
      </w:pPr>
      <w:rPr>
        <w:rFonts w:hint="default" w:ascii="OpenSymbol" w:hAnsi="OpenSymbol" w:cs="OpenSymbol"/>
      </w:rPr>
    </w:lvl>
    <w:lvl w:ilvl="5" w:tentative="0">
      <w:start w:val="1"/>
      <w:numFmt w:val="bullet"/>
      <w:lvlText w:val="▪"/>
      <w:lvlJc w:val="left"/>
      <w:pPr>
        <w:tabs>
          <w:tab w:val="left" w:pos="3240"/>
        </w:tabs>
        <w:ind w:left="3240" w:hanging="360"/>
      </w:pPr>
      <w:rPr>
        <w:rFonts w:hint="default" w:ascii="OpenSymbol" w:hAnsi="OpenSymbol" w:cs="OpenSymbol"/>
      </w:rPr>
    </w:lvl>
    <w:lvl w:ilvl="6" w:tentative="0">
      <w:start w:val="1"/>
      <w:numFmt w:val="bullet"/>
      <w:lvlText w:val=""/>
      <w:lvlJc w:val="left"/>
      <w:pPr>
        <w:tabs>
          <w:tab w:val="left" w:pos="3600"/>
        </w:tabs>
        <w:ind w:left="3600" w:hanging="360"/>
      </w:pPr>
      <w:rPr>
        <w:rFonts w:hint="default" w:ascii="Symbol" w:hAnsi="Symbol" w:cs="Symbol"/>
      </w:rPr>
    </w:lvl>
    <w:lvl w:ilvl="7" w:tentative="0">
      <w:start w:val="1"/>
      <w:numFmt w:val="bullet"/>
      <w:lvlText w:val="◦"/>
      <w:lvlJc w:val="left"/>
      <w:pPr>
        <w:tabs>
          <w:tab w:val="left" w:pos="3960"/>
        </w:tabs>
        <w:ind w:left="3960" w:hanging="360"/>
      </w:pPr>
      <w:rPr>
        <w:rFonts w:hint="default" w:ascii="OpenSymbol" w:hAnsi="OpenSymbol" w:cs="OpenSymbol"/>
      </w:rPr>
    </w:lvl>
    <w:lvl w:ilvl="8" w:tentative="0">
      <w:start w:val="1"/>
      <w:numFmt w:val="bullet"/>
      <w:lvlText w:val="▪"/>
      <w:lvlJc w:val="left"/>
      <w:pPr>
        <w:tabs>
          <w:tab w:val="left" w:pos="4320"/>
        </w:tabs>
        <w:ind w:left="4320" w:hanging="360"/>
      </w:pPr>
      <w:rPr>
        <w:rFonts w:hint="default" w:ascii="OpenSymbol" w:hAnsi="OpenSymbol" w:cs="OpenSymbol"/>
      </w:rPr>
    </w:lvl>
  </w:abstractNum>
  <w:abstractNum w:abstractNumId="76">
    <w:nsid w:val="6A156D56"/>
    <w:multiLevelType w:val="multilevel"/>
    <w:tmpl w:val="6A156D5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7">
    <w:nsid w:val="6A865B02"/>
    <w:multiLevelType w:val="multilevel"/>
    <w:tmpl w:val="6A865B0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8">
    <w:nsid w:val="6F8A537C"/>
    <w:multiLevelType w:val="multilevel"/>
    <w:tmpl w:val="6F8A537C"/>
    <w:lvl w:ilvl="0" w:tentative="0">
      <w:start w:val="1"/>
      <w:numFmt w:val="decimal"/>
      <w:lvlText w:val="%1."/>
      <w:lvlJc w:val="left"/>
      <w:pPr>
        <w:ind w:left="360" w:hanging="360"/>
      </w:pPr>
      <w:rPr>
        <w:rFonts w:hint="default"/>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79">
    <w:nsid w:val="6FDE62ED"/>
    <w:multiLevelType w:val="multilevel"/>
    <w:tmpl w:val="6FDE62ED"/>
    <w:lvl w:ilvl="0" w:tentative="0">
      <w:start w:val="1"/>
      <w:numFmt w:val="decimal"/>
      <w:lvlText w:val="%1."/>
      <w:lvlJc w:val="left"/>
      <w:pPr>
        <w:ind w:left="360" w:hanging="360"/>
      </w:pPr>
      <w:rPr>
        <w:rFonts w:hint="default"/>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80">
    <w:nsid w:val="72C669BF"/>
    <w:multiLevelType w:val="multilevel"/>
    <w:tmpl w:val="72C669B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1">
    <w:nsid w:val="73141CEF"/>
    <w:multiLevelType w:val="multilevel"/>
    <w:tmpl w:val="73141CEF"/>
    <w:lvl w:ilvl="0" w:tentative="0">
      <w:start w:val="1"/>
      <w:numFmt w:val="decimal"/>
      <w:lvlText w:val="%1)"/>
      <w:lvlJc w:val="left"/>
      <w:pPr>
        <w:tabs>
          <w:tab w:val="left" w:pos="720"/>
        </w:tabs>
        <w:ind w:left="720" w:hanging="360"/>
      </w:pPr>
      <w:rPr>
        <w:b/>
        <w:bC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2">
    <w:nsid w:val="754D6497"/>
    <w:multiLevelType w:val="multilevel"/>
    <w:tmpl w:val="754D6497"/>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83">
    <w:nsid w:val="759401E6"/>
    <w:multiLevelType w:val="multilevel"/>
    <w:tmpl w:val="759401E6"/>
    <w:lvl w:ilvl="0" w:tentative="0">
      <w:start w:val="1"/>
      <w:numFmt w:val="bullet"/>
      <w:lvlText w:val=""/>
      <w:lvlJc w:val="left"/>
      <w:pPr>
        <w:ind w:left="720" w:hanging="360"/>
      </w:pPr>
      <w:rPr>
        <w:rFonts w:hint="default" w:ascii="Symbol" w:hAnsi="Symbol"/>
      </w:rPr>
    </w:lvl>
    <w:lvl w:ilvl="1" w:tentative="0">
      <w:start w:val="2"/>
      <w:numFmt w:val="bullet"/>
      <w:lvlText w:val="•"/>
      <w:lvlJc w:val="left"/>
      <w:pPr>
        <w:ind w:left="1440" w:hanging="360"/>
      </w:pPr>
      <w:rPr>
        <w:rFonts w:hint="default" w:ascii="Times New Roman" w:hAnsi="Times New Roman" w:cs="Times New Roman" w:eastAsiaTheme="minorHAnsi"/>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4">
    <w:nsid w:val="76DC1E6E"/>
    <w:multiLevelType w:val="multilevel"/>
    <w:tmpl w:val="76DC1E6E"/>
    <w:lvl w:ilvl="0" w:tentative="0">
      <w:start w:val="1"/>
      <w:numFmt w:val="bullet"/>
      <w:lvlText w:val=""/>
      <w:lvlJc w:val="left"/>
      <w:pPr>
        <w:tabs>
          <w:tab w:val="left" w:pos="1440"/>
        </w:tabs>
        <w:ind w:left="1440" w:hanging="360"/>
      </w:pPr>
      <w:rPr>
        <w:rFonts w:hint="default" w:ascii="Symbol" w:hAnsi="Symbol" w:cs="Symbol"/>
      </w:rPr>
    </w:lvl>
    <w:lvl w:ilvl="1" w:tentative="0">
      <w:start w:val="1"/>
      <w:numFmt w:val="bullet"/>
      <w:lvlText w:val="◦"/>
      <w:lvlJc w:val="left"/>
      <w:pPr>
        <w:tabs>
          <w:tab w:val="left" w:pos="1800"/>
        </w:tabs>
        <w:ind w:left="1800" w:hanging="360"/>
      </w:pPr>
      <w:rPr>
        <w:rFonts w:hint="default" w:ascii="OpenSymbol" w:hAnsi="OpenSymbol" w:cs="OpenSymbol"/>
      </w:rPr>
    </w:lvl>
    <w:lvl w:ilvl="2" w:tentative="0">
      <w:start w:val="1"/>
      <w:numFmt w:val="bullet"/>
      <w:lvlText w:val="▪"/>
      <w:lvlJc w:val="left"/>
      <w:pPr>
        <w:tabs>
          <w:tab w:val="left" w:pos="2160"/>
        </w:tabs>
        <w:ind w:left="2160" w:hanging="360"/>
      </w:pPr>
      <w:rPr>
        <w:rFonts w:hint="default" w:ascii="OpenSymbol" w:hAnsi="OpenSymbol" w:cs="OpenSymbol"/>
      </w:rPr>
    </w:lvl>
    <w:lvl w:ilvl="3" w:tentative="0">
      <w:start w:val="1"/>
      <w:numFmt w:val="bullet"/>
      <w:lvlText w:val=""/>
      <w:lvlJc w:val="left"/>
      <w:pPr>
        <w:tabs>
          <w:tab w:val="left" w:pos="2520"/>
        </w:tabs>
        <w:ind w:left="2520" w:hanging="360"/>
      </w:pPr>
      <w:rPr>
        <w:rFonts w:hint="default" w:ascii="Symbol" w:hAnsi="Symbol" w:cs="Symbol"/>
      </w:rPr>
    </w:lvl>
    <w:lvl w:ilvl="4" w:tentative="0">
      <w:start w:val="1"/>
      <w:numFmt w:val="bullet"/>
      <w:lvlText w:val="◦"/>
      <w:lvlJc w:val="left"/>
      <w:pPr>
        <w:tabs>
          <w:tab w:val="left" w:pos="2880"/>
        </w:tabs>
        <w:ind w:left="2880" w:hanging="360"/>
      </w:pPr>
      <w:rPr>
        <w:rFonts w:hint="default" w:ascii="OpenSymbol" w:hAnsi="OpenSymbol" w:cs="OpenSymbol"/>
      </w:rPr>
    </w:lvl>
    <w:lvl w:ilvl="5" w:tentative="0">
      <w:start w:val="1"/>
      <w:numFmt w:val="bullet"/>
      <w:lvlText w:val="▪"/>
      <w:lvlJc w:val="left"/>
      <w:pPr>
        <w:tabs>
          <w:tab w:val="left" w:pos="3240"/>
        </w:tabs>
        <w:ind w:left="3240" w:hanging="360"/>
      </w:pPr>
      <w:rPr>
        <w:rFonts w:hint="default" w:ascii="OpenSymbol" w:hAnsi="OpenSymbol" w:cs="OpenSymbol"/>
      </w:rPr>
    </w:lvl>
    <w:lvl w:ilvl="6" w:tentative="0">
      <w:start w:val="1"/>
      <w:numFmt w:val="bullet"/>
      <w:lvlText w:val=""/>
      <w:lvlJc w:val="left"/>
      <w:pPr>
        <w:tabs>
          <w:tab w:val="left" w:pos="3600"/>
        </w:tabs>
        <w:ind w:left="3600" w:hanging="360"/>
      </w:pPr>
      <w:rPr>
        <w:rFonts w:hint="default" w:ascii="Symbol" w:hAnsi="Symbol" w:cs="Symbol"/>
      </w:rPr>
    </w:lvl>
    <w:lvl w:ilvl="7" w:tentative="0">
      <w:start w:val="1"/>
      <w:numFmt w:val="bullet"/>
      <w:lvlText w:val="◦"/>
      <w:lvlJc w:val="left"/>
      <w:pPr>
        <w:tabs>
          <w:tab w:val="left" w:pos="3960"/>
        </w:tabs>
        <w:ind w:left="3960" w:hanging="360"/>
      </w:pPr>
      <w:rPr>
        <w:rFonts w:hint="default" w:ascii="OpenSymbol" w:hAnsi="OpenSymbol" w:cs="OpenSymbol"/>
      </w:rPr>
    </w:lvl>
    <w:lvl w:ilvl="8" w:tentative="0">
      <w:start w:val="1"/>
      <w:numFmt w:val="bullet"/>
      <w:lvlText w:val="▪"/>
      <w:lvlJc w:val="left"/>
      <w:pPr>
        <w:tabs>
          <w:tab w:val="left" w:pos="4320"/>
        </w:tabs>
        <w:ind w:left="4320" w:hanging="360"/>
      </w:pPr>
      <w:rPr>
        <w:rFonts w:hint="default" w:ascii="OpenSymbol" w:hAnsi="OpenSymbol" w:cs="OpenSymbol"/>
      </w:rPr>
    </w:lvl>
  </w:abstractNum>
  <w:abstractNum w:abstractNumId="85">
    <w:nsid w:val="77E27C4E"/>
    <w:multiLevelType w:val="multilevel"/>
    <w:tmpl w:val="77E27C4E"/>
    <w:lvl w:ilvl="0" w:tentative="0">
      <w:start w:val="1"/>
      <w:numFmt w:val="decimal"/>
      <w:lvlText w:val="%1."/>
      <w:lvlJc w:val="left"/>
      <w:pPr>
        <w:ind w:left="720" w:hanging="360"/>
      </w:pPr>
      <w:rPr>
        <w:rFonts w:hint="default"/>
      </w:rPr>
    </w:lvl>
    <w:lvl w:ilvl="1" w:tentative="0">
      <w:start w:val="1"/>
      <w:numFmt w:val="decimal"/>
      <w:isLgl/>
      <w:lvlText w:val="%1.%2"/>
      <w:lvlJc w:val="left"/>
      <w:pPr>
        <w:ind w:left="906" w:hanging="480"/>
      </w:pPr>
      <w:rPr>
        <w:rFonts w:hint="default"/>
        <w:b/>
        <w:bCs/>
      </w:rPr>
    </w:lvl>
    <w:lvl w:ilvl="2" w:tentative="0">
      <w:start w:val="1"/>
      <w:numFmt w:val="decimal"/>
      <w:isLgl/>
      <w:lvlText w:val="%1.%2.%3"/>
      <w:lvlJc w:val="left"/>
      <w:pPr>
        <w:ind w:left="1080" w:hanging="72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440" w:hanging="1080"/>
      </w:pPr>
      <w:rPr>
        <w:rFonts w:hint="default"/>
      </w:rPr>
    </w:lvl>
    <w:lvl w:ilvl="5" w:tentative="0">
      <w:start w:val="1"/>
      <w:numFmt w:val="decimal"/>
      <w:isLgl/>
      <w:lvlText w:val="%1.%2.%3.%4.%5.%6"/>
      <w:lvlJc w:val="left"/>
      <w:pPr>
        <w:ind w:left="1800" w:hanging="1440"/>
      </w:pPr>
      <w:rPr>
        <w:rFonts w:hint="default"/>
      </w:rPr>
    </w:lvl>
    <w:lvl w:ilvl="6" w:tentative="0">
      <w:start w:val="1"/>
      <w:numFmt w:val="decimal"/>
      <w:isLgl/>
      <w:lvlText w:val="%1.%2.%3.%4.%5.%6.%7"/>
      <w:lvlJc w:val="left"/>
      <w:pPr>
        <w:ind w:left="1800" w:hanging="1440"/>
      </w:pPr>
      <w:rPr>
        <w:rFonts w:hint="default"/>
      </w:rPr>
    </w:lvl>
    <w:lvl w:ilvl="7" w:tentative="0">
      <w:start w:val="1"/>
      <w:numFmt w:val="decimal"/>
      <w:isLgl/>
      <w:lvlText w:val="%1.%2.%3.%4.%5.%6.%7.%8"/>
      <w:lvlJc w:val="left"/>
      <w:pPr>
        <w:ind w:left="2160" w:hanging="1800"/>
      </w:pPr>
      <w:rPr>
        <w:rFonts w:hint="default"/>
      </w:rPr>
    </w:lvl>
    <w:lvl w:ilvl="8" w:tentative="0">
      <w:start w:val="1"/>
      <w:numFmt w:val="decimal"/>
      <w:isLgl/>
      <w:lvlText w:val="%1.%2.%3.%4.%5.%6.%7.%8.%9"/>
      <w:lvlJc w:val="left"/>
      <w:pPr>
        <w:ind w:left="2160" w:hanging="1800"/>
      </w:pPr>
      <w:rPr>
        <w:rFonts w:hint="default"/>
      </w:rPr>
    </w:lvl>
  </w:abstractNum>
  <w:abstractNum w:abstractNumId="86">
    <w:nsid w:val="7B803CFF"/>
    <w:multiLevelType w:val="multilevel"/>
    <w:tmpl w:val="7B803CF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7">
    <w:nsid w:val="7C505C30"/>
    <w:multiLevelType w:val="multilevel"/>
    <w:tmpl w:val="7C505C3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8">
    <w:nsid w:val="7E0553A0"/>
    <w:multiLevelType w:val="multilevel"/>
    <w:tmpl w:val="7E0553A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440"/>
        </w:tabs>
        <w:ind w:left="1440" w:hanging="360"/>
      </w:pPr>
    </w:lvl>
    <w:lvl w:ilvl="3" w:tentative="0">
      <w:start w:val="1"/>
      <w:numFmt w:val="decimal"/>
      <w:lvlText w:val="%4."/>
      <w:lvlJc w:val="left"/>
      <w:pPr>
        <w:tabs>
          <w:tab w:val="left" w:pos="1800"/>
        </w:tabs>
        <w:ind w:left="1800" w:hanging="360"/>
      </w:pPr>
    </w:lvl>
    <w:lvl w:ilvl="4" w:tentative="0">
      <w:start w:val="1"/>
      <w:numFmt w:val="decimal"/>
      <w:lvlText w:val="%5."/>
      <w:lvlJc w:val="left"/>
      <w:pPr>
        <w:tabs>
          <w:tab w:val="left" w:pos="2160"/>
        </w:tabs>
        <w:ind w:left="2160" w:hanging="360"/>
      </w:pPr>
    </w:lvl>
    <w:lvl w:ilvl="5" w:tentative="0">
      <w:start w:val="1"/>
      <w:numFmt w:val="decimal"/>
      <w:lvlText w:val="%6."/>
      <w:lvlJc w:val="left"/>
      <w:pPr>
        <w:tabs>
          <w:tab w:val="left" w:pos="2520"/>
        </w:tabs>
        <w:ind w:left="2520" w:hanging="360"/>
      </w:pPr>
    </w:lvl>
    <w:lvl w:ilvl="6" w:tentative="0">
      <w:start w:val="1"/>
      <w:numFmt w:val="decimal"/>
      <w:lvlText w:val="%7."/>
      <w:lvlJc w:val="left"/>
      <w:pPr>
        <w:tabs>
          <w:tab w:val="left" w:pos="2880"/>
        </w:tabs>
        <w:ind w:left="2880" w:hanging="360"/>
      </w:pPr>
    </w:lvl>
    <w:lvl w:ilvl="7" w:tentative="0">
      <w:start w:val="1"/>
      <w:numFmt w:val="decimal"/>
      <w:lvlText w:val="%8."/>
      <w:lvlJc w:val="left"/>
      <w:pPr>
        <w:tabs>
          <w:tab w:val="left" w:pos="3240"/>
        </w:tabs>
        <w:ind w:left="3240" w:hanging="360"/>
      </w:pPr>
    </w:lvl>
    <w:lvl w:ilvl="8" w:tentative="0">
      <w:start w:val="1"/>
      <w:numFmt w:val="decimal"/>
      <w:lvlText w:val="%9."/>
      <w:lvlJc w:val="left"/>
      <w:pPr>
        <w:tabs>
          <w:tab w:val="left" w:pos="3600"/>
        </w:tabs>
        <w:ind w:left="3600" w:hanging="360"/>
      </w:pPr>
    </w:lvl>
  </w:abstractNum>
  <w:abstractNum w:abstractNumId="89">
    <w:nsid w:val="7E8A5903"/>
    <w:multiLevelType w:val="multilevel"/>
    <w:tmpl w:val="7E8A590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num w:numId="1">
    <w:abstractNumId w:val="81"/>
  </w:num>
  <w:num w:numId="2">
    <w:abstractNumId w:val="40"/>
  </w:num>
  <w:num w:numId="3">
    <w:abstractNumId w:val="74"/>
  </w:num>
  <w:num w:numId="4">
    <w:abstractNumId w:val="85"/>
  </w:num>
  <w:num w:numId="5">
    <w:abstractNumId w:val="19"/>
  </w:num>
  <w:num w:numId="6">
    <w:abstractNumId w:val="71"/>
  </w:num>
  <w:num w:numId="7">
    <w:abstractNumId w:val="48"/>
  </w:num>
  <w:num w:numId="8">
    <w:abstractNumId w:val="86"/>
  </w:num>
  <w:num w:numId="9">
    <w:abstractNumId w:val="76"/>
  </w:num>
  <w:num w:numId="10">
    <w:abstractNumId w:val="80"/>
  </w:num>
  <w:num w:numId="11">
    <w:abstractNumId w:val="7"/>
  </w:num>
  <w:num w:numId="12">
    <w:abstractNumId w:val="28"/>
  </w:num>
  <w:num w:numId="13">
    <w:abstractNumId w:val="27"/>
  </w:num>
  <w:num w:numId="14">
    <w:abstractNumId w:val="38"/>
  </w:num>
  <w:num w:numId="15">
    <w:abstractNumId w:val="50"/>
  </w:num>
  <w:num w:numId="16">
    <w:abstractNumId w:val="55"/>
  </w:num>
  <w:num w:numId="17">
    <w:abstractNumId w:val="57"/>
  </w:num>
  <w:num w:numId="18">
    <w:abstractNumId w:val="5"/>
  </w:num>
  <w:num w:numId="19">
    <w:abstractNumId w:val="60"/>
  </w:num>
  <w:num w:numId="20">
    <w:abstractNumId w:val="23"/>
  </w:num>
  <w:num w:numId="21">
    <w:abstractNumId w:val="43"/>
  </w:num>
  <w:num w:numId="22">
    <w:abstractNumId w:val="21"/>
  </w:num>
  <w:num w:numId="23">
    <w:abstractNumId w:val="14"/>
  </w:num>
  <w:num w:numId="24">
    <w:abstractNumId w:val="42"/>
  </w:num>
  <w:num w:numId="25">
    <w:abstractNumId w:val="30"/>
  </w:num>
  <w:num w:numId="26">
    <w:abstractNumId w:val="26"/>
  </w:num>
  <w:num w:numId="27">
    <w:abstractNumId w:val="44"/>
  </w:num>
  <w:num w:numId="28">
    <w:abstractNumId w:val="59"/>
  </w:num>
  <w:num w:numId="29">
    <w:abstractNumId w:val="0"/>
  </w:num>
  <w:num w:numId="30">
    <w:abstractNumId w:val="61"/>
  </w:num>
  <w:num w:numId="31">
    <w:abstractNumId w:val="67"/>
  </w:num>
  <w:num w:numId="32">
    <w:abstractNumId w:val="41"/>
  </w:num>
  <w:num w:numId="33">
    <w:abstractNumId w:val="62"/>
  </w:num>
  <w:num w:numId="34">
    <w:abstractNumId w:val="54"/>
  </w:num>
  <w:num w:numId="35">
    <w:abstractNumId w:val="12"/>
  </w:num>
  <w:num w:numId="36">
    <w:abstractNumId w:val="65"/>
  </w:num>
  <w:num w:numId="37">
    <w:abstractNumId w:val="33"/>
  </w:num>
  <w:num w:numId="38">
    <w:abstractNumId w:val="34"/>
  </w:num>
  <w:num w:numId="39">
    <w:abstractNumId w:val="83"/>
  </w:num>
  <w:num w:numId="40">
    <w:abstractNumId w:val="4"/>
  </w:num>
  <w:num w:numId="41">
    <w:abstractNumId w:val="25"/>
  </w:num>
  <w:num w:numId="42">
    <w:abstractNumId w:val="70"/>
  </w:num>
  <w:num w:numId="43">
    <w:abstractNumId w:val="18"/>
  </w:num>
  <w:num w:numId="44">
    <w:abstractNumId w:val="49"/>
  </w:num>
  <w:num w:numId="45">
    <w:abstractNumId w:val="89"/>
  </w:num>
  <w:num w:numId="46">
    <w:abstractNumId w:val="87"/>
  </w:num>
  <w:num w:numId="47">
    <w:abstractNumId w:val="77"/>
  </w:num>
  <w:num w:numId="48">
    <w:abstractNumId w:val="72"/>
  </w:num>
  <w:num w:numId="49">
    <w:abstractNumId w:val="10"/>
  </w:num>
  <w:num w:numId="50">
    <w:abstractNumId w:val="11"/>
  </w:num>
  <w:num w:numId="51">
    <w:abstractNumId w:val="8"/>
  </w:num>
  <w:num w:numId="52">
    <w:abstractNumId w:val="2"/>
  </w:num>
  <w:num w:numId="53">
    <w:abstractNumId w:val="56"/>
  </w:num>
  <w:num w:numId="54">
    <w:abstractNumId w:val="46"/>
  </w:num>
  <w:num w:numId="55">
    <w:abstractNumId w:val="64"/>
  </w:num>
  <w:num w:numId="56">
    <w:abstractNumId w:val="35"/>
  </w:num>
  <w:num w:numId="57">
    <w:abstractNumId w:val="13"/>
  </w:num>
  <w:num w:numId="58">
    <w:abstractNumId w:val="29"/>
  </w:num>
  <w:num w:numId="59">
    <w:abstractNumId w:val="22"/>
  </w:num>
  <w:num w:numId="60">
    <w:abstractNumId w:val="63"/>
  </w:num>
  <w:num w:numId="61">
    <w:abstractNumId w:val="9"/>
  </w:num>
  <w:num w:numId="62">
    <w:abstractNumId w:val="51"/>
  </w:num>
  <w:num w:numId="63">
    <w:abstractNumId w:val="1"/>
  </w:num>
  <w:num w:numId="64">
    <w:abstractNumId w:val="36"/>
  </w:num>
  <w:num w:numId="65">
    <w:abstractNumId w:val="20"/>
  </w:num>
  <w:num w:numId="66">
    <w:abstractNumId w:val="32"/>
  </w:num>
  <w:num w:numId="67">
    <w:abstractNumId w:val="37"/>
  </w:num>
  <w:num w:numId="68">
    <w:abstractNumId w:val="58"/>
  </w:num>
  <w:num w:numId="69">
    <w:abstractNumId w:val="16"/>
  </w:num>
  <w:num w:numId="70">
    <w:abstractNumId w:val="45"/>
  </w:num>
  <w:num w:numId="71">
    <w:abstractNumId w:val="79"/>
  </w:num>
  <w:num w:numId="72">
    <w:abstractNumId w:val="52"/>
  </w:num>
  <w:num w:numId="73">
    <w:abstractNumId w:val="15"/>
  </w:num>
  <w:num w:numId="74">
    <w:abstractNumId w:val="78"/>
  </w:num>
  <w:num w:numId="75">
    <w:abstractNumId w:val="31"/>
  </w:num>
  <w:num w:numId="76">
    <w:abstractNumId w:val="6"/>
  </w:num>
  <w:num w:numId="77">
    <w:abstractNumId w:val="24"/>
  </w:num>
  <w:num w:numId="78">
    <w:abstractNumId w:val="73"/>
  </w:num>
  <w:num w:numId="79">
    <w:abstractNumId w:val="53"/>
  </w:num>
  <w:num w:numId="80">
    <w:abstractNumId w:val="84"/>
  </w:num>
  <w:num w:numId="81">
    <w:abstractNumId w:val="39"/>
  </w:num>
  <w:num w:numId="82">
    <w:abstractNumId w:val="68"/>
  </w:num>
  <w:num w:numId="83">
    <w:abstractNumId w:val="47"/>
  </w:num>
  <w:num w:numId="84">
    <w:abstractNumId w:val="17"/>
  </w:num>
  <w:num w:numId="85">
    <w:abstractNumId w:val="3"/>
  </w:num>
  <w:num w:numId="86">
    <w:abstractNumId w:val="88"/>
  </w:num>
  <w:num w:numId="87">
    <w:abstractNumId w:val="82"/>
  </w:num>
  <w:num w:numId="88">
    <w:abstractNumId w:val="75"/>
  </w:num>
  <w:num w:numId="89">
    <w:abstractNumId w:val="69"/>
  </w:num>
  <w:num w:numId="90">
    <w:abstractNumId w:val="6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hideSpellingErrors/>
  <w:documentProtection w:enforcement="0"/>
  <w:defaultTabStop w:val="720"/>
  <w:characterSpacingControl w:val="doNotCompress"/>
  <w:footnotePr>
    <w:footnote w:id="4"/>
    <w:footnote w:id="5"/>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6663"/>
    <w:rsid w:val="000022D1"/>
    <w:rsid w:val="00002A24"/>
    <w:rsid w:val="00002B77"/>
    <w:rsid w:val="00003090"/>
    <w:rsid w:val="000030C5"/>
    <w:rsid w:val="000031B6"/>
    <w:rsid w:val="00003E44"/>
    <w:rsid w:val="000068E2"/>
    <w:rsid w:val="00010FC4"/>
    <w:rsid w:val="00013156"/>
    <w:rsid w:val="000139B5"/>
    <w:rsid w:val="00013F4B"/>
    <w:rsid w:val="00015AA0"/>
    <w:rsid w:val="00020F65"/>
    <w:rsid w:val="00021951"/>
    <w:rsid w:val="00022875"/>
    <w:rsid w:val="00025DD7"/>
    <w:rsid w:val="0002609B"/>
    <w:rsid w:val="000278E6"/>
    <w:rsid w:val="00030A66"/>
    <w:rsid w:val="000313BC"/>
    <w:rsid w:val="000337CA"/>
    <w:rsid w:val="0003762D"/>
    <w:rsid w:val="00037EC6"/>
    <w:rsid w:val="000413E9"/>
    <w:rsid w:val="00046130"/>
    <w:rsid w:val="00051D03"/>
    <w:rsid w:val="000527D2"/>
    <w:rsid w:val="000535FF"/>
    <w:rsid w:val="000553EE"/>
    <w:rsid w:val="00056610"/>
    <w:rsid w:val="000571E9"/>
    <w:rsid w:val="00061AFD"/>
    <w:rsid w:val="00063D7F"/>
    <w:rsid w:val="00067D0D"/>
    <w:rsid w:val="000775D4"/>
    <w:rsid w:val="000812B6"/>
    <w:rsid w:val="00086141"/>
    <w:rsid w:val="000925C5"/>
    <w:rsid w:val="00092C46"/>
    <w:rsid w:val="000933B4"/>
    <w:rsid w:val="00093426"/>
    <w:rsid w:val="000A784C"/>
    <w:rsid w:val="000B23C5"/>
    <w:rsid w:val="000B2774"/>
    <w:rsid w:val="000B3A85"/>
    <w:rsid w:val="000B4EE9"/>
    <w:rsid w:val="000C2CE4"/>
    <w:rsid w:val="000C3ACF"/>
    <w:rsid w:val="000C51EF"/>
    <w:rsid w:val="000C6C23"/>
    <w:rsid w:val="000E1938"/>
    <w:rsid w:val="000F081B"/>
    <w:rsid w:val="000F3921"/>
    <w:rsid w:val="000F5F62"/>
    <w:rsid w:val="000F664B"/>
    <w:rsid w:val="00104899"/>
    <w:rsid w:val="0010598A"/>
    <w:rsid w:val="001119C5"/>
    <w:rsid w:val="00115568"/>
    <w:rsid w:val="00117DDD"/>
    <w:rsid w:val="00134621"/>
    <w:rsid w:val="00135A95"/>
    <w:rsid w:val="0013744D"/>
    <w:rsid w:val="00143049"/>
    <w:rsid w:val="00143730"/>
    <w:rsid w:val="00143E3A"/>
    <w:rsid w:val="001512DA"/>
    <w:rsid w:val="0015248A"/>
    <w:rsid w:val="00157198"/>
    <w:rsid w:val="00157FF0"/>
    <w:rsid w:val="001604FF"/>
    <w:rsid w:val="00160652"/>
    <w:rsid w:val="00160B5C"/>
    <w:rsid w:val="001639B6"/>
    <w:rsid w:val="00164A94"/>
    <w:rsid w:val="0016506A"/>
    <w:rsid w:val="00174A65"/>
    <w:rsid w:val="00182639"/>
    <w:rsid w:val="00192AA4"/>
    <w:rsid w:val="0019516A"/>
    <w:rsid w:val="00195F41"/>
    <w:rsid w:val="001962DE"/>
    <w:rsid w:val="00196BFE"/>
    <w:rsid w:val="001A196F"/>
    <w:rsid w:val="001A2256"/>
    <w:rsid w:val="001A3441"/>
    <w:rsid w:val="001A7430"/>
    <w:rsid w:val="001C2412"/>
    <w:rsid w:val="001C440B"/>
    <w:rsid w:val="001C754F"/>
    <w:rsid w:val="001D04A7"/>
    <w:rsid w:val="001D079F"/>
    <w:rsid w:val="001D151C"/>
    <w:rsid w:val="001D18FA"/>
    <w:rsid w:val="001D1EAA"/>
    <w:rsid w:val="001D4625"/>
    <w:rsid w:val="001D6259"/>
    <w:rsid w:val="001E45DC"/>
    <w:rsid w:val="001E52C7"/>
    <w:rsid w:val="001E5BE9"/>
    <w:rsid w:val="001E5EA5"/>
    <w:rsid w:val="001F00EE"/>
    <w:rsid w:val="001F0B30"/>
    <w:rsid w:val="001F120B"/>
    <w:rsid w:val="001F20FD"/>
    <w:rsid w:val="001F2F5F"/>
    <w:rsid w:val="001F33CA"/>
    <w:rsid w:val="001F4A23"/>
    <w:rsid w:val="00202BC8"/>
    <w:rsid w:val="00206363"/>
    <w:rsid w:val="0020697A"/>
    <w:rsid w:val="0021109E"/>
    <w:rsid w:val="002135FB"/>
    <w:rsid w:val="0021785F"/>
    <w:rsid w:val="00221BA3"/>
    <w:rsid w:val="00225184"/>
    <w:rsid w:val="00231A50"/>
    <w:rsid w:val="0023226A"/>
    <w:rsid w:val="00232728"/>
    <w:rsid w:val="00234F04"/>
    <w:rsid w:val="00235D28"/>
    <w:rsid w:val="00236608"/>
    <w:rsid w:val="002370D1"/>
    <w:rsid w:val="00237806"/>
    <w:rsid w:val="00237F1C"/>
    <w:rsid w:val="00243944"/>
    <w:rsid w:val="002440A3"/>
    <w:rsid w:val="0024482D"/>
    <w:rsid w:val="002459E2"/>
    <w:rsid w:val="002558BB"/>
    <w:rsid w:val="002559B2"/>
    <w:rsid w:val="002561FB"/>
    <w:rsid w:val="002577A4"/>
    <w:rsid w:val="00263827"/>
    <w:rsid w:val="00267F5F"/>
    <w:rsid w:val="00270972"/>
    <w:rsid w:val="00273EAD"/>
    <w:rsid w:val="00280219"/>
    <w:rsid w:val="00281B45"/>
    <w:rsid w:val="00283D7B"/>
    <w:rsid w:val="00284E4A"/>
    <w:rsid w:val="00291377"/>
    <w:rsid w:val="0029410E"/>
    <w:rsid w:val="00297060"/>
    <w:rsid w:val="002A082C"/>
    <w:rsid w:val="002A4122"/>
    <w:rsid w:val="002A4805"/>
    <w:rsid w:val="002A76E6"/>
    <w:rsid w:val="002B00F9"/>
    <w:rsid w:val="002B1299"/>
    <w:rsid w:val="002B1CB9"/>
    <w:rsid w:val="002B4B53"/>
    <w:rsid w:val="002B52EA"/>
    <w:rsid w:val="002C5FD0"/>
    <w:rsid w:val="002D20C2"/>
    <w:rsid w:val="002D7689"/>
    <w:rsid w:val="002E1CA9"/>
    <w:rsid w:val="002E1EE4"/>
    <w:rsid w:val="002E7AB2"/>
    <w:rsid w:val="002F0C02"/>
    <w:rsid w:val="002F3916"/>
    <w:rsid w:val="00302102"/>
    <w:rsid w:val="00304B34"/>
    <w:rsid w:val="0031268E"/>
    <w:rsid w:val="00313C21"/>
    <w:rsid w:val="003145F7"/>
    <w:rsid w:val="003176D4"/>
    <w:rsid w:val="00320B0F"/>
    <w:rsid w:val="00321BEE"/>
    <w:rsid w:val="00322B59"/>
    <w:rsid w:val="00324ADE"/>
    <w:rsid w:val="00333EEB"/>
    <w:rsid w:val="0033540A"/>
    <w:rsid w:val="00344CBC"/>
    <w:rsid w:val="00353708"/>
    <w:rsid w:val="00353ADD"/>
    <w:rsid w:val="00354D1C"/>
    <w:rsid w:val="003568EC"/>
    <w:rsid w:val="00356903"/>
    <w:rsid w:val="00360D36"/>
    <w:rsid w:val="00363B90"/>
    <w:rsid w:val="00364410"/>
    <w:rsid w:val="00365B47"/>
    <w:rsid w:val="00373E3E"/>
    <w:rsid w:val="00375692"/>
    <w:rsid w:val="0038380F"/>
    <w:rsid w:val="0038489A"/>
    <w:rsid w:val="0038497A"/>
    <w:rsid w:val="00385629"/>
    <w:rsid w:val="00395CD6"/>
    <w:rsid w:val="00396CB9"/>
    <w:rsid w:val="00397FE5"/>
    <w:rsid w:val="003A3463"/>
    <w:rsid w:val="003A5A87"/>
    <w:rsid w:val="003B0065"/>
    <w:rsid w:val="003B13E4"/>
    <w:rsid w:val="003B3EE0"/>
    <w:rsid w:val="003B4C11"/>
    <w:rsid w:val="003B5243"/>
    <w:rsid w:val="003B768E"/>
    <w:rsid w:val="003C0656"/>
    <w:rsid w:val="003C244F"/>
    <w:rsid w:val="003C2A9D"/>
    <w:rsid w:val="003C3ECB"/>
    <w:rsid w:val="003D0D32"/>
    <w:rsid w:val="003D1112"/>
    <w:rsid w:val="003D6D02"/>
    <w:rsid w:val="003D7084"/>
    <w:rsid w:val="003D71B6"/>
    <w:rsid w:val="003E14BF"/>
    <w:rsid w:val="003E23CD"/>
    <w:rsid w:val="003E3167"/>
    <w:rsid w:val="003E3E2C"/>
    <w:rsid w:val="003E5A07"/>
    <w:rsid w:val="003E5C80"/>
    <w:rsid w:val="003E7868"/>
    <w:rsid w:val="003F1E3B"/>
    <w:rsid w:val="003F5F7A"/>
    <w:rsid w:val="003F63C8"/>
    <w:rsid w:val="0040683E"/>
    <w:rsid w:val="0041363D"/>
    <w:rsid w:val="0041586F"/>
    <w:rsid w:val="00415B9A"/>
    <w:rsid w:val="004162EC"/>
    <w:rsid w:val="00416DFE"/>
    <w:rsid w:val="00417C58"/>
    <w:rsid w:val="004208F9"/>
    <w:rsid w:val="004304B3"/>
    <w:rsid w:val="00430AE5"/>
    <w:rsid w:val="004313C9"/>
    <w:rsid w:val="00434602"/>
    <w:rsid w:val="004363F3"/>
    <w:rsid w:val="004378AA"/>
    <w:rsid w:val="00453100"/>
    <w:rsid w:val="00456D80"/>
    <w:rsid w:val="00464F3E"/>
    <w:rsid w:val="00472B65"/>
    <w:rsid w:val="00484CB6"/>
    <w:rsid w:val="004855D2"/>
    <w:rsid w:val="00485B40"/>
    <w:rsid w:val="00491758"/>
    <w:rsid w:val="00493AD6"/>
    <w:rsid w:val="00497D5D"/>
    <w:rsid w:val="004A51CD"/>
    <w:rsid w:val="004B1FD7"/>
    <w:rsid w:val="004B5E7E"/>
    <w:rsid w:val="004B7003"/>
    <w:rsid w:val="004C1BC4"/>
    <w:rsid w:val="004C271F"/>
    <w:rsid w:val="004C3F3A"/>
    <w:rsid w:val="004C4436"/>
    <w:rsid w:val="004C4BE5"/>
    <w:rsid w:val="004D46D3"/>
    <w:rsid w:val="004D560E"/>
    <w:rsid w:val="004D6DF6"/>
    <w:rsid w:val="004E11D2"/>
    <w:rsid w:val="004E1584"/>
    <w:rsid w:val="004E4521"/>
    <w:rsid w:val="004F2092"/>
    <w:rsid w:val="004F5C30"/>
    <w:rsid w:val="004F5F27"/>
    <w:rsid w:val="004F65F7"/>
    <w:rsid w:val="004F6F63"/>
    <w:rsid w:val="004F6FFB"/>
    <w:rsid w:val="004F7E86"/>
    <w:rsid w:val="00501164"/>
    <w:rsid w:val="005024E4"/>
    <w:rsid w:val="005030AD"/>
    <w:rsid w:val="00506A13"/>
    <w:rsid w:val="00506D03"/>
    <w:rsid w:val="00506F79"/>
    <w:rsid w:val="00507A42"/>
    <w:rsid w:val="00513D18"/>
    <w:rsid w:val="005148AF"/>
    <w:rsid w:val="005161ED"/>
    <w:rsid w:val="00520351"/>
    <w:rsid w:val="00521E9F"/>
    <w:rsid w:val="00526A4D"/>
    <w:rsid w:val="00527730"/>
    <w:rsid w:val="00527F7B"/>
    <w:rsid w:val="005406C9"/>
    <w:rsid w:val="00541E7B"/>
    <w:rsid w:val="00542EC7"/>
    <w:rsid w:val="00544B2B"/>
    <w:rsid w:val="0055416D"/>
    <w:rsid w:val="005546BC"/>
    <w:rsid w:val="00554B72"/>
    <w:rsid w:val="00560377"/>
    <w:rsid w:val="0056182B"/>
    <w:rsid w:val="005630FB"/>
    <w:rsid w:val="00564F44"/>
    <w:rsid w:val="005662E5"/>
    <w:rsid w:val="00570087"/>
    <w:rsid w:val="0057568B"/>
    <w:rsid w:val="00575E05"/>
    <w:rsid w:val="00576C61"/>
    <w:rsid w:val="00581AB9"/>
    <w:rsid w:val="00582F81"/>
    <w:rsid w:val="00584A90"/>
    <w:rsid w:val="0058754A"/>
    <w:rsid w:val="0059053B"/>
    <w:rsid w:val="00593EE6"/>
    <w:rsid w:val="005977DD"/>
    <w:rsid w:val="005A0200"/>
    <w:rsid w:val="005A044F"/>
    <w:rsid w:val="005A0F58"/>
    <w:rsid w:val="005A11B5"/>
    <w:rsid w:val="005A1D48"/>
    <w:rsid w:val="005A1FD7"/>
    <w:rsid w:val="005A3B92"/>
    <w:rsid w:val="005A5E8F"/>
    <w:rsid w:val="005A6C57"/>
    <w:rsid w:val="005A7AA1"/>
    <w:rsid w:val="005B01B2"/>
    <w:rsid w:val="005B2349"/>
    <w:rsid w:val="005B2854"/>
    <w:rsid w:val="005B3457"/>
    <w:rsid w:val="005B4A67"/>
    <w:rsid w:val="005C1041"/>
    <w:rsid w:val="005C1F81"/>
    <w:rsid w:val="005C5075"/>
    <w:rsid w:val="005C54C7"/>
    <w:rsid w:val="005C5F81"/>
    <w:rsid w:val="005C6593"/>
    <w:rsid w:val="005D25EA"/>
    <w:rsid w:val="005D3F3F"/>
    <w:rsid w:val="005D4C3B"/>
    <w:rsid w:val="005D752B"/>
    <w:rsid w:val="005E0345"/>
    <w:rsid w:val="005E199C"/>
    <w:rsid w:val="005F07F3"/>
    <w:rsid w:val="005F2D55"/>
    <w:rsid w:val="005F33BD"/>
    <w:rsid w:val="005F34AE"/>
    <w:rsid w:val="005F6701"/>
    <w:rsid w:val="005F6FD4"/>
    <w:rsid w:val="006030BE"/>
    <w:rsid w:val="00603D57"/>
    <w:rsid w:val="00603FF3"/>
    <w:rsid w:val="0060546F"/>
    <w:rsid w:val="00620CF6"/>
    <w:rsid w:val="00621717"/>
    <w:rsid w:val="00623138"/>
    <w:rsid w:val="0062782D"/>
    <w:rsid w:val="00627B54"/>
    <w:rsid w:val="006309E6"/>
    <w:rsid w:val="00630C3B"/>
    <w:rsid w:val="00633129"/>
    <w:rsid w:val="0063492B"/>
    <w:rsid w:val="00634953"/>
    <w:rsid w:val="00637AF9"/>
    <w:rsid w:val="00640E14"/>
    <w:rsid w:val="00640E79"/>
    <w:rsid w:val="006423B5"/>
    <w:rsid w:val="006463B6"/>
    <w:rsid w:val="006512D5"/>
    <w:rsid w:val="00652982"/>
    <w:rsid w:val="006534DD"/>
    <w:rsid w:val="00654D64"/>
    <w:rsid w:val="00656996"/>
    <w:rsid w:val="006651DC"/>
    <w:rsid w:val="0066573E"/>
    <w:rsid w:val="0066798F"/>
    <w:rsid w:val="006738D7"/>
    <w:rsid w:val="00677731"/>
    <w:rsid w:val="00686E47"/>
    <w:rsid w:val="00692D5B"/>
    <w:rsid w:val="006936F2"/>
    <w:rsid w:val="00696621"/>
    <w:rsid w:val="00696FD1"/>
    <w:rsid w:val="0069718E"/>
    <w:rsid w:val="006A6A8E"/>
    <w:rsid w:val="006B26E7"/>
    <w:rsid w:val="006C6E94"/>
    <w:rsid w:val="006C725E"/>
    <w:rsid w:val="006D19E4"/>
    <w:rsid w:val="006D1CB3"/>
    <w:rsid w:val="006E2132"/>
    <w:rsid w:val="006E73AF"/>
    <w:rsid w:val="006F03CE"/>
    <w:rsid w:val="006F382C"/>
    <w:rsid w:val="006F6370"/>
    <w:rsid w:val="006F7A8A"/>
    <w:rsid w:val="0070361C"/>
    <w:rsid w:val="00703DF3"/>
    <w:rsid w:val="007075D1"/>
    <w:rsid w:val="007107CE"/>
    <w:rsid w:val="00715ABF"/>
    <w:rsid w:val="00716DE2"/>
    <w:rsid w:val="0072104E"/>
    <w:rsid w:val="00721667"/>
    <w:rsid w:val="00725246"/>
    <w:rsid w:val="00726C02"/>
    <w:rsid w:val="00731E8E"/>
    <w:rsid w:val="00733351"/>
    <w:rsid w:val="007363AF"/>
    <w:rsid w:val="0073648E"/>
    <w:rsid w:val="00736EC9"/>
    <w:rsid w:val="00740197"/>
    <w:rsid w:val="00744686"/>
    <w:rsid w:val="0074608D"/>
    <w:rsid w:val="00755970"/>
    <w:rsid w:val="00756EB2"/>
    <w:rsid w:val="00757757"/>
    <w:rsid w:val="007577E5"/>
    <w:rsid w:val="00760B0C"/>
    <w:rsid w:val="00764886"/>
    <w:rsid w:val="0076787C"/>
    <w:rsid w:val="00774E1B"/>
    <w:rsid w:val="007763BE"/>
    <w:rsid w:val="007770D3"/>
    <w:rsid w:val="00777E81"/>
    <w:rsid w:val="00786706"/>
    <w:rsid w:val="00792291"/>
    <w:rsid w:val="00792A65"/>
    <w:rsid w:val="0079322A"/>
    <w:rsid w:val="0079579E"/>
    <w:rsid w:val="007A071E"/>
    <w:rsid w:val="007A1512"/>
    <w:rsid w:val="007A2E2C"/>
    <w:rsid w:val="007A3251"/>
    <w:rsid w:val="007A59B2"/>
    <w:rsid w:val="007B0F64"/>
    <w:rsid w:val="007B33C5"/>
    <w:rsid w:val="007B6E76"/>
    <w:rsid w:val="007B7369"/>
    <w:rsid w:val="007B7727"/>
    <w:rsid w:val="007D4463"/>
    <w:rsid w:val="007D4EEE"/>
    <w:rsid w:val="007D54EB"/>
    <w:rsid w:val="007D6107"/>
    <w:rsid w:val="007D7277"/>
    <w:rsid w:val="007D730A"/>
    <w:rsid w:val="007E20C2"/>
    <w:rsid w:val="007E22AD"/>
    <w:rsid w:val="007E4613"/>
    <w:rsid w:val="007E78FB"/>
    <w:rsid w:val="007F1E51"/>
    <w:rsid w:val="00800E8C"/>
    <w:rsid w:val="008029A2"/>
    <w:rsid w:val="008047A2"/>
    <w:rsid w:val="0080649D"/>
    <w:rsid w:val="00810D8E"/>
    <w:rsid w:val="0081204B"/>
    <w:rsid w:val="008167FD"/>
    <w:rsid w:val="0082136C"/>
    <w:rsid w:val="00833113"/>
    <w:rsid w:val="00833546"/>
    <w:rsid w:val="008341FC"/>
    <w:rsid w:val="008357DE"/>
    <w:rsid w:val="00840188"/>
    <w:rsid w:val="0084342A"/>
    <w:rsid w:val="00843497"/>
    <w:rsid w:val="008435E8"/>
    <w:rsid w:val="00843E5D"/>
    <w:rsid w:val="00850055"/>
    <w:rsid w:val="008524FA"/>
    <w:rsid w:val="00855542"/>
    <w:rsid w:val="00857030"/>
    <w:rsid w:val="0086373E"/>
    <w:rsid w:val="0086465C"/>
    <w:rsid w:val="00867200"/>
    <w:rsid w:val="008723FF"/>
    <w:rsid w:val="00874958"/>
    <w:rsid w:val="008800EF"/>
    <w:rsid w:val="00885579"/>
    <w:rsid w:val="00885E30"/>
    <w:rsid w:val="00887FC0"/>
    <w:rsid w:val="00891073"/>
    <w:rsid w:val="00896B47"/>
    <w:rsid w:val="00896E6D"/>
    <w:rsid w:val="00897AB4"/>
    <w:rsid w:val="008A143F"/>
    <w:rsid w:val="008A2121"/>
    <w:rsid w:val="008B1124"/>
    <w:rsid w:val="008B3068"/>
    <w:rsid w:val="008B42A2"/>
    <w:rsid w:val="008B718D"/>
    <w:rsid w:val="008C07F2"/>
    <w:rsid w:val="008C705B"/>
    <w:rsid w:val="008D2500"/>
    <w:rsid w:val="008D3F99"/>
    <w:rsid w:val="008E4BB0"/>
    <w:rsid w:val="008E51F4"/>
    <w:rsid w:val="008F1109"/>
    <w:rsid w:val="008F4474"/>
    <w:rsid w:val="00900ABD"/>
    <w:rsid w:val="009014CF"/>
    <w:rsid w:val="009057D0"/>
    <w:rsid w:val="009058E1"/>
    <w:rsid w:val="0091289F"/>
    <w:rsid w:val="00914F78"/>
    <w:rsid w:val="0091535C"/>
    <w:rsid w:val="00923178"/>
    <w:rsid w:val="00926AC6"/>
    <w:rsid w:val="00927111"/>
    <w:rsid w:val="00932564"/>
    <w:rsid w:val="009345A0"/>
    <w:rsid w:val="0093746F"/>
    <w:rsid w:val="00940BB1"/>
    <w:rsid w:val="0094286B"/>
    <w:rsid w:val="00952A2F"/>
    <w:rsid w:val="00953EE8"/>
    <w:rsid w:val="00955292"/>
    <w:rsid w:val="00956BE1"/>
    <w:rsid w:val="00957950"/>
    <w:rsid w:val="00960BFB"/>
    <w:rsid w:val="00965BA9"/>
    <w:rsid w:val="0097300C"/>
    <w:rsid w:val="009821A8"/>
    <w:rsid w:val="00982FCF"/>
    <w:rsid w:val="00987043"/>
    <w:rsid w:val="009957B1"/>
    <w:rsid w:val="009A08CC"/>
    <w:rsid w:val="009A5901"/>
    <w:rsid w:val="009B64BB"/>
    <w:rsid w:val="009B64DF"/>
    <w:rsid w:val="009B6663"/>
    <w:rsid w:val="009B6DAA"/>
    <w:rsid w:val="009C3E13"/>
    <w:rsid w:val="009D6553"/>
    <w:rsid w:val="009D729C"/>
    <w:rsid w:val="009E0983"/>
    <w:rsid w:val="009E4E79"/>
    <w:rsid w:val="009E59FC"/>
    <w:rsid w:val="009E5B3B"/>
    <w:rsid w:val="009E67B1"/>
    <w:rsid w:val="009E705E"/>
    <w:rsid w:val="009F14D2"/>
    <w:rsid w:val="009F33C5"/>
    <w:rsid w:val="009F512B"/>
    <w:rsid w:val="00A001E3"/>
    <w:rsid w:val="00A01485"/>
    <w:rsid w:val="00A0369A"/>
    <w:rsid w:val="00A060DB"/>
    <w:rsid w:val="00A0774C"/>
    <w:rsid w:val="00A113B9"/>
    <w:rsid w:val="00A14CF7"/>
    <w:rsid w:val="00A15722"/>
    <w:rsid w:val="00A16DF5"/>
    <w:rsid w:val="00A2641C"/>
    <w:rsid w:val="00A2711B"/>
    <w:rsid w:val="00A30127"/>
    <w:rsid w:val="00A33697"/>
    <w:rsid w:val="00A34409"/>
    <w:rsid w:val="00A356D4"/>
    <w:rsid w:val="00A35C5F"/>
    <w:rsid w:val="00A4113F"/>
    <w:rsid w:val="00A41F77"/>
    <w:rsid w:val="00A4330C"/>
    <w:rsid w:val="00A450EE"/>
    <w:rsid w:val="00A47351"/>
    <w:rsid w:val="00A5085B"/>
    <w:rsid w:val="00A5215B"/>
    <w:rsid w:val="00A5223A"/>
    <w:rsid w:val="00A523EB"/>
    <w:rsid w:val="00A5524A"/>
    <w:rsid w:val="00A61C64"/>
    <w:rsid w:val="00A61C8C"/>
    <w:rsid w:val="00A63FA7"/>
    <w:rsid w:val="00A66E1F"/>
    <w:rsid w:val="00A74E86"/>
    <w:rsid w:val="00A81A15"/>
    <w:rsid w:val="00A84265"/>
    <w:rsid w:val="00A84B88"/>
    <w:rsid w:val="00A91D41"/>
    <w:rsid w:val="00A941F0"/>
    <w:rsid w:val="00A95F18"/>
    <w:rsid w:val="00AA140D"/>
    <w:rsid w:val="00AA6014"/>
    <w:rsid w:val="00AA754D"/>
    <w:rsid w:val="00AB0104"/>
    <w:rsid w:val="00AB4B8D"/>
    <w:rsid w:val="00AB5536"/>
    <w:rsid w:val="00AB5CBE"/>
    <w:rsid w:val="00AC3151"/>
    <w:rsid w:val="00AC424A"/>
    <w:rsid w:val="00AC775E"/>
    <w:rsid w:val="00AD0378"/>
    <w:rsid w:val="00AD1BD8"/>
    <w:rsid w:val="00AD4079"/>
    <w:rsid w:val="00AE284A"/>
    <w:rsid w:val="00AE505C"/>
    <w:rsid w:val="00AF075E"/>
    <w:rsid w:val="00AF4727"/>
    <w:rsid w:val="00B03083"/>
    <w:rsid w:val="00B053F7"/>
    <w:rsid w:val="00B146BC"/>
    <w:rsid w:val="00B2690A"/>
    <w:rsid w:val="00B30B32"/>
    <w:rsid w:val="00B31332"/>
    <w:rsid w:val="00B37218"/>
    <w:rsid w:val="00B40D81"/>
    <w:rsid w:val="00B40EE3"/>
    <w:rsid w:val="00B45A90"/>
    <w:rsid w:val="00B52784"/>
    <w:rsid w:val="00B603C5"/>
    <w:rsid w:val="00B60575"/>
    <w:rsid w:val="00B70179"/>
    <w:rsid w:val="00B70D95"/>
    <w:rsid w:val="00B72C37"/>
    <w:rsid w:val="00B74691"/>
    <w:rsid w:val="00B74C9B"/>
    <w:rsid w:val="00B76F7E"/>
    <w:rsid w:val="00B84C82"/>
    <w:rsid w:val="00B86FAA"/>
    <w:rsid w:val="00B92D7E"/>
    <w:rsid w:val="00B96752"/>
    <w:rsid w:val="00BA16B9"/>
    <w:rsid w:val="00BA2E69"/>
    <w:rsid w:val="00BB31C8"/>
    <w:rsid w:val="00BB5171"/>
    <w:rsid w:val="00BC1994"/>
    <w:rsid w:val="00BC7950"/>
    <w:rsid w:val="00BD1F88"/>
    <w:rsid w:val="00BD4270"/>
    <w:rsid w:val="00BE3BF2"/>
    <w:rsid w:val="00BF1B85"/>
    <w:rsid w:val="00BF231B"/>
    <w:rsid w:val="00BF2629"/>
    <w:rsid w:val="00BF6A90"/>
    <w:rsid w:val="00C01277"/>
    <w:rsid w:val="00C02D93"/>
    <w:rsid w:val="00C126D9"/>
    <w:rsid w:val="00C137BF"/>
    <w:rsid w:val="00C160D4"/>
    <w:rsid w:val="00C1740F"/>
    <w:rsid w:val="00C17CF0"/>
    <w:rsid w:val="00C20CC0"/>
    <w:rsid w:val="00C22186"/>
    <w:rsid w:val="00C25C76"/>
    <w:rsid w:val="00C27CD9"/>
    <w:rsid w:val="00C32C27"/>
    <w:rsid w:val="00C3375A"/>
    <w:rsid w:val="00C34C62"/>
    <w:rsid w:val="00C43FDB"/>
    <w:rsid w:val="00C47475"/>
    <w:rsid w:val="00C5453D"/>
    <w:rsid w:val="00C567C2"/>
    <w:rsid w:val="00C56AB8"/>
    <w:rsid w:val="00C65E65"/>
    <w:rsid w:val="00C74ABD"/>
    <w:rsid w:val="00C75492"/>
    <w:rsid w:val="00C814FC"/>
    <w:rsid w:val="00C82137"/>
    <w:rsid w:val="00C82E92"/>
    <w:rsid w:val="00C83AB8"/>
    <w:rsid w:val="00C85894"/>
    <w:rsid w:val="00C93794"/>
    <w:rsid w:val="00C97959"/>
    <w:rsid w:val="00CA0D3B"/>
    <w:rsid w:val="00CA552F"/>
    <w:rsid w:val="00CA6F5F"/>
    <w:rsid w:val="00CA7E09"/>
    <w:rsid w:val="00CB2346"/>
    <w:rsid w:val="00CB7C79"/>
    <w:rsid w:val="00CC23BF"/>
    <w:rsid w:val="00CD255A"/>
    <w:rsid w:val="00CD318B"/>
    <w:rsid w:val="00CD3B07"/>
    <w:rsid w:val="00CE04D3"/>
    <w:rsid w:val="00CE4B6B"/>
    <w:rsid w:val="00CE55E9"/>
    <w:rsid w:val="00CE66D2"/>
    <w:rsid w:val="00CE686B"/>
    <w:rsid w:val="00CF1E9F"/>
    <w:rsid w:val="00CF3B0E"/>
    <w:rsid w:val="00CF69A6"/>
    <w:rsid w:val="00CF74EE"/>
    <w:rsid w:val="00D009E3"/>
    <w:rsid w:val="00D011A0"/>
    <w:rsid w:val="00D03813"/>
    <w:rsid w:val="00D0492F"/>
    <w:rsid w:val="00D0662F"/>
    <w:rsid w:val="00D15541"/>
    <w:rsid w:val="00D20E34"/>
    <w:rsid w:val="00D217E8"/>
    <w:rsid w:val="00D22FF7"/>
    <w:rsid w:val="00D242A8"/>
    <w:rsid w:val="00D248EB"/>
    <w:rsid w:val="00D25343"/>
    <w:rsid w:val="00D274C9"/>
    <w:rsid w:val="00D27639"/>
    <w:rsid w:val="00D35A06"/>
    <w:rsid w:val="00D45166"/>
    <w:rsid w:val="00D46C58"/>
    <w:rsid w:val="00D47AA5"/>
    <w:rsid w:val="00D505E0"/>
    <w:rsid w:val="00D535FF"/>
    <w:rsid w:val="00D57FDD"/>
    <w:rsid w:val="00D65B9A"/>
    <w:rsid w:val="00D670F6"/>
    <w:rsid w:val="00D71123"/>
    <w:rsid w:val="00D811C5"/>
    <w:rsid w:val="00D83DAF"/>
    <w:rsid w:val="00D83F5C"/>
    <w:rsid w:val="00D85B2D"/>
    <w:rsid w:val="00D86B3B"/>
    <w:rsid w:val="00D8797E"/>
    <w:rsid w:val="00D906FD"/>
    <w:rsid w:val="00D91ACF"/>
    <w:rsid w:val="00D92953"/>
    <w:rsid w:val="00D9368E"/>
    <w:rsid w:val="00D9491C"/>
    <w:rsid w:val="00DA3CF7"/>
    <w:rsid w:val="00DA46F8"/>
    <w:rsid w:val="00DB6C32"/>
    <w:rsid w:val="00DC0A3D"/>
    <w:rsid w:val="00DC4FB9"/>
    <w:rsid w:val="00DC7F3A"/>
    <w:rsid w:val="00DD2AE2"/>
    <w:rsid w:val="00DD3160"/>
    <w:rsid w:val="00DE0007"/>
    <w:rsid w:val="00DE1281"/>
    <w:rsid w:val="00DE1881"/>
    <w:rsid w:val="00DE4402"/>
    <w:rsid w:val="00DE4DAD"/>
    <w:rsid w:val="00DE5F6D"/>
    <w:rsid w:val="00DF7635"/>
    <w:rsid w:val="00E025C1"/>
    <w:rsid w:val="00E02B9C"/>
    <w:rsid w:val="00E043FB"/>
    <w:rsid w:val="00E056CA"/>
    <w:rsid w:val="00E1184A"/>
    <w:rsid w:val="00E14B20"/>
    <w:rsid w:val="00E15C9B"/>
    <w:rsid w:val="00E22D1C"/>
    <w:rsid w:val="00E25F74"/>
    <w:rsid w:val="00E312DE"/>
    <w:rsid w:val="00E37B8A"/>
    <w:rsid w:val="00E37CA6"/>
    <w:rsid w:val="00E37D9D"/>
    <w:rsid w:val="00E40076"/>
    <w:rsid w:val="00E40B2A"/>
    <w:rsid w:val="00E4220E"/>
    <w:rsid w:val="00E46505"/>
    <w:rsid w:val="00E513D7"/>
    <w:rsid w:val="00E574B3"/>
    <w:rsid w:val="00E6099F"/>
    <w:rsid w:val="00E630C5"/>
    <w:rsid w:val="00E64D8E"/>
    <w:rsid w:val="00E672C4"/>
    <w:rsid w:val="00E700C9"/>
    <w:rsid w:val="00E71C26"/>
    <w:rsid w:val="00E74984"/>
    <w:rsid w:val="00E75234"/>
    <w:rsid w:val="00E75497"/>
    <w:rsid w:val="00E75A2B"/>
    <w:rsid w:val="00E766EB"/>
    <w:rsid w:val="00E767E5"/>
    <w:rsid w:val="00E86C3E"/>
    <w:rsid w:val="00E86CBA"/>
    <w:rsid w:val="00E8794C"/>
    <w:rsid w:val="00E903B4"/>
    <w:rsid w:val="00E9519A"/>
    <w:rsid w:val="00EA2046"/>
    <w:rsid w:val="00EA3CDA"/>
    <w:rsid w:val="00EA6353"/>
    <w:rsid w:val="00EA6DE8"/>
    <w:rsid w:val="00EA6E24"/>
    <w:rsid w:val="00EB0B77"/>
    <w:rsid w:val="00EB34F5"/>
    <w:rsid w:val="00EB427E"/>
    <w:rsid w:val="00EC74BA"/>
    <w:rsid w:val="00ED2C7A"/>
    <w:rsid w:val="00ED355F"/>
    <w:rsid w:val="00ED6038"/>
    <w:rsid w:val="00ED6E72"/>
    <w:rsid w:val="00EE66CD"/>
    <w:rsid w:val="00EF2FE6"/>
    <w:rsid w:val="00EF53E8"/>
    <w:rsid w:val="00EF6C17"/>
    <w:rsid w:val="00F00FBB"/>
    <w:rsid w:val="00F0153C"/>
    <w:rsid w:val="00F01D6A"/>
    <w:rsid w:val="00F03496"/>
    <w:rsid w:val="00F06361"/>
    <w:rsid w:val="00F063F3"/>
    <w:rsid w:val="00F070DE"/>
    <w:rsid w:val="00F17C7F"/>
    <w:rsid w:val="00F200A6"/>
    <w:rsid w:val="00F207C1"/>
    <w:rsid w:val="00F20906"/>
    <w:rsid w:val="00F2462E"/>
    <w:rsid w:val="00F2607F"/>
    <w:rsid w:val="00F352F9"/>
    <w:rsid w:val="00F365E7"/>
    <w:rsid w:val="00F40845"/>
    <w:rsid w:val="00F40A44"/>
    <w:rsid w:val="00F447EA"/>
    <w:rsid w:val="00F44F9F"/>
    <w:rsid w:val="00F45ECA"/>
    <w:rsid w:val="00F51F6A"/>
    <w:rsid w:val="00F61759"/>
    <w:rsid w:val="00F6482A"/>
    <w:rsid w:val="00F665D5"/>
    <w:rsid w:val="00F71B74"/>
    <w:rsid w:val="00F7420E"/>
    <w:rsid w:val="00F80402"/>
    <w:rsid w:val="00F8088F"/>
    <w:rsid w:val="00F82E94"/>
    <w:rsid w:val="00F83C0D"/>
    <w:rsid w:val="00F91DDA"/>
    <w:rsid w:val="00F925F0"/>
    <w:rsid w:val="00F92AD9"/>
    <w:rsid w:val="00FA03F3"/>
    <w:rsid w:val="00FA2230"/>
    <w:rsid w:val="00FA4D56"/>
    <w:rsid w:val="00FB2C1C"/>
    <w:rsid w:val="00FB6A2C"/>
    <w:rsid w:val="00FB7BA6"/>
    <w:rsid w:val="00FC3772"/>
    <w:rsid w:val="00FC5715"/>
    <w:rsid w:val="00FD17CE"/>
    <w:rsid w:val="00FD4FD1"/>
    <w:rsid w:val="00FE0981"/>
    <w:rsid w:val="00FE36A3"/>
    <w:rsid w:val="00FE3C75"/>
    <w:rsid w:val="00FE3FA3"/>
    <w:rsid w:val="00FE7B6F"/>
    <w:rsid w:val="00FF1BCC"/>
    <w:rsid w:val="00FF4CB1"/>
    <w:rsid w:val="00FF4D93"/>
    <w:rsid w:val="309877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78" w:lineRule="auto"/>
    </w:pPr>
    <w:rPr>
      <w:rFonts w:asciiTheme="minorHAnsi" w:hAnsiTheme="minorHAnsi" w:eastAsiaTheme="minorHAnsi" w:cstheme="minorBidi"/>
      <w:kern w:val="2"/>
      <w:sz w:val="24"/>
      <w:szCs w:val="24"/>
      <w:lang w:val="en-US" w:eastAsia="en-US" w:bidi="ar-SA"/>
    </w:rPr>
  </w:style>
  <w:style w:type="paragraph" w:styleId="2">
    <w:name w:val="heading 1"/>
    <w:basedOn w:val="1"/>
    <w:next w:val="1"/>
    <w:link w:val="26"/>
    <w:qFormat/>
    <w:uiPriority w:val="9"/>
    <w:pPr>
      <w:keepNext/>
      <w:keepLines/>
      <w:spacing w:before="360" w:after="80"/>
      <w:outlineLvl w:val="0"/>
    </w:pPr>
    <w:rPr>
      <w:rFonts w:ascii="Times New Roman" w:hAnsi="Times New Roman" w:cs="Times New Roman" w:eastAsiaTheme="majorEastAsia"/>
      <w:b/>
      <w:bCs/>
      <w:color w:val="104862" w:themeColor="accent1" w:themeShade="BF"/>
      <w:sz w:val="40"/>
      <w:szCs w:val="40"/>
    </w:rPr>
  </w:style>
  <w:style w:type="paragraph" w:styleId="3">
    <w:name w:val="heading 2"/>
    <w:basedOn w:val="1"/>
    <w:next w:val="1"/>
    <w:link w:val="27"/>
    <w:unhideWhenUsed/>
    <w:qFormat/>
    <w:uiPriority w:val="9"/>
    <w:pPr>
      <w:keepNext/>
      <w:keepLines/>
      <w:spacing w:before="160" w:after="80"/>
      <w:outlineLvl w:val="1"/>
    </w:pPr>
    <w:rPr>
      <w:rFonts w:ascii="Times New Roman" w:hAnsi="Times New Roman" w:cs="Times New Roman" w:eastAsiaTheme="majorEastAsia"/>
      <w:b/>
      <w:bCs/>
      <w:color w:val="104862" w:themeColor="accent1" w:themeShade="BF"/>
      <w:sz w:val="32"/>
      <w:szCs w:val="32"/>
    </w:rPr>
  </w:style>
  <w:style w:type="paragraph" w:styleId="4">
    <w:name w:val="heading 3"/>
    <w:basedOn w:val="1"/>
    <w:next w:val="1"/>
    <w:link w:val="28"/>
    <w:semiHidden/>
    <w:unhideWhenUsed/>
    <w:qFormat/>
    <w:uiPriority w:val="9"/>
    <w:pPr>
      <w:keepNext/>
      <w:keepLines/>
      <w:spacing w:before="160" w:after="80"/>
      <w:outlineLvl w:val="2"/>
    </w:pPr>
    <w:rPr>
      <w:rFonts w:eastAsiaTheme="majorEastAsia" w:cstheme="majorBidi"/>
      <w:color w:val="104862" w:themeColor="accent1" w:themeShade="BF"/>
      <w:sz w:val="28"/>
      <w:szCs w:val="28"/>
    </w:rPr>
  </w:style>
  <w:style w:type="paragraph" w:styleId="5">
    <w:name w:val="heading 4"/>
    <w:basedOn w:val="1"/>
    <w:next w:val="1"/>
    <w:link w:val="29"/>
    <w:semiHidden/>
    <w:unhideWhenUsed/>
    <w:qFormat/>
    <w:uiPriority w:val="9"/>
    <w:pPr>
      <w:keepNext/>
      <w:keepLines/>
      <w:spacing w:before="80" w:after="40"/>
      <w:outlineLvl w:val="3"/>
    </w:pPr>
    <w:rPr>
      <w:rFonts w:eastAsiaTheme="majorEastAsia" w:cstheme="majorBidi"/>
      <w:i/>
      <w:iCs/>
      <w:color w:val="104862" w:themeColor="accent1" w:themeShade="BF"/>
    </w:rPr>
  </w:style>
  <w:style w:type="paragraph" w:styleId="6">
    <w:name w:val="heading 5"/>
    <w:basedOn w:val="1"/>
    <w:next w:val="1"/>
    <w:link w:val="30"/>
    <w:semiHidden/>
    <w:unhideWhenUsed/>
    <w:qFormat/>
    <w:uiPriority w:val="9"/>
    <w:pPr>
      <w:keepNext/>
      <w:keepLines/>
      <w:spacing w:before="80" w:after="40"/>
      <w:outlineLvl w:val="4"/>
    </w:pPr>
    <w:rPr>
      <w:rFonts w:eastAsiaTheme="majorEastAsia" w:cstheme="majorBidi"/>
      <w:color w:val="104862" w:themeColor="accent1" w:themeShade="BF"/>
    </w:rPr>
  </w:style>
  <w:style w:type="paragraph" w:styleId="7">
    <w:name w:val="heading 6"/>
    <w:basedOn w:val="1"/>
    <w:next w:val="1"/>
    <w:link w:val="31"/>
    <w:semiHidden/>
    <w:unhideWhenUsed/>
    <w:qFormat/>
    <w:uiPriority w:val="9"/>
    <w:pPr>
      <w:keepNext/>
      <w:keepLines/>
      <w:spacing w:before="40" w:after="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32"/>
    <w:semiHidden/>
    <w:unhideWhenUsed/>
    <w:qFormat/>
    <w:uiPriority w:val="9"/>
    <w:pPr>
      <w:keepNext/>
      <w:keepLines/>
      <w:spacing w:before="40" w:after="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3"/>
    <w:semiHidden/>
    <w:unhideWhenUsed/>
    <w:qFormat/>
    <w:uiPriority w:val="9"/>
    <w:pPr>
      <w:keepNext/>
      <w:keepLines/>
      <w:spacing w:after="0"/>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34"/>
    <w:semiHidden/>
    <w:unhideWhenUsed/>
    <w:qFormat/>
    <w:uiPriority w:val="9"/>
    <w:pPr>
      <w:keepNext/>
      <w:keepLines/>
      <w:spacing w:after="0"/>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50"/>
    <w:semiHidden/>
    <w:unhideWhenUsed/>
    <w:uiPriority w:val="99"/>
    <w:pPr>
      <w:spacing w:after="0" w:line="240" w:lineRule="auto"/>
    </w:pPr>
    <w:rPr>
      <w:rFonts w:ascii="Tahoma" w:hAnsi="Tahoma" w:cs="Tahoma"/>
      <w:sz w:val="16"/>
      <w:szCs w:val="16"/>
    </w:rPr>
  </w:style>
  <w:style w:type="paragraph" w:styleId="14">
    <w:name w:val="footer"/>
    <w:basedOn w:val="1"/>
    <w:link w:val="49"/>
    <w:unhideWhenUsed/>
    <w:uiPriority w:val="99"/>
    <w:pPr>
      <w:tabs>
        <w:tab w:val="center" w:pos="4513"/>
        <w:tab w:val="right" w:pos="9026"/>
      </w:tabs>
      <w:spacing w:after="0" w:line="240" w:lineRule="auto"/>
    </w:pPr>
  </w:style>
  <w:style w:type="character" w:styleId="15">
    <w:name w:val="footnote reference"/>
    <w:basedOn w:val="11"/>
    <w:semiHidden/>
    <w:unhideWhenUsed/>
    <w:uiPriority w:val="99"/>
    <w:rPr>
      <w:vertAlign w:val="superscript"/>
    </w:rPr>
  </w:style>
  <w:style w:type="paragraph" w:styleId="16">
    <w:name w:val="footnote text"/>
    <w:basedOn w:val="1"/>
    <w:link w:val="45"/>
    <w:semiHidden/>
    <w:unhideWhenUsed/>
    <w:uiPriority w:val="99"/>
    <w:pPr>
      <w:spacing w:after="0" w:line="240" w:lineRule="auto"/>
    </w:pPr>
    <w:rPr>
      <w:sz w:val="20"/>
      <w:szCs w:val="20"/>
    </w:rPr>
  </w:style>
  <w:style w:type="paragraph" w:styleId="17">
    <w:name w:val="header"/>
    <w:basedOn w:val="1"/>
    <w:link w:val="48"/>
    <w:unhideWhenUsed/>
    <w:uiPriority w:val="99"/>
    <w:pPr>
      <w:tabs>
        <w:tab w:val="center" w:pos="4513"/>
        <w:tab w:val="right" w:pos="9026"/>
      </w:tabs>
      <w:spacing w:after="0" w:line="240" w:lineRule="auto"/>
    </w:pPr>
  </w:style>
  <w:style w:type="character" w:styleId="18">
    <w:name w:val="Hyperlink"/>
    <w:basedOn w:val="11"/>
    <w:unhideWhenUsed/>
    <w:uiPriority w:val="99"/>
    <w:rPr>
      <w:color w:val="467886" w:themeColor="hyperlink"/>
      <w:u w:val="single"/>
      <w14:textFill>
        <w14:solidFill>
          <w14:schemeClr w14:val="hlink"/>
        </w14:solidFill>
      </w14:textFill>
    </w:rPr>
  </w:style>
  <w:style w:type="paragraph" w:styleId="19">
    <w:name w:val="Normal (Web)"/>
    <w:basedOn w:val="1"/>
    <w:semiHidden/>
    <w:unhideWhenUsed/>
    <w:uiPriority w:val="99"/>
    <w:rPr>
      <w:rFonts w:ascii="Times New Roman" w:hAnsi="Times New Roman" w:cs="Times New Roman"/>
    </w:rPr>
  </w:style>
  <w:style w:type="paragraph" w:styleId="20">
    <w:name w:val="Subtitle"/>
    <w:basedOn w:val="1"/>
    <w:next w:val="1"/>
    <w:link w:val="36"/>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table" w:styleId="21">
    <w:name w:val="Table Grid"/>
    <w:basedOn w:val="12"/>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2">
    <w:name w:val="Title"/>
    <w:basedOn w:val="1"/>
    <w:next w:val="1"/>
    <w:link w:val="35"/>
    <w:qFormat/>
    <w:uiPriority w:val="10"/>
    <w:pPr>
      <w:spacing w:after="80" w:line="240" w:lineRule="auto"/>
      <w:contextualSpacing/>
    </w:pPr>
    <w:rPr>
      <w:rFonts w:asciiTheme="majorHAnsi" w:hAnsiTheme="majorHAnsi" w:eastAsiaTheme="majorEastAsia" w:cstheme="majorBidi"/>
      <w:spacing w:val="-10"/>
      <w:kern w:val="28"/>
      <w:sz w:val="56"/>
      <w:szCs w:val="56"/>
    </w:rPr>
  </w:style>
  <w:style w:type="paragraph" w:styleId="23">
    <w:name w:val="toc 1"/>
    <w:basedOn w:val="1"/>
    <w:next w:val="1"/>
    <w:autoRedefine/>
    <w:unhideWhenUsed/>
    <w:uiPriority w:val="39"/>
    <w:pPr>
      <w:spacing w:after="100"/>
    </w:pPr>
  </w:style>
  <w:style w:type="paragraph" w:styleId="24">
    <w:name w:val="toc 2"/>
    <w:basedOn w:val="1"/>
    <w:next w:val="1"/>
    <w:autoRedefine/>
    <w:unhideWhenUsed/>
    <w:uiPriority w:val="39"/>
    <w:pPr>
      <w:spacing w:after="100" w:line="259" w:lineRule="auto"/>
      <w:ind w:left="220"/>
    </w:pPr>
    <w:rPr>
      <w:rFonts w:cs="Times New Roman" w:eastAsiaTheme="minorEastAsia"/>
      <w:kern w:val="0"/>
      <w:sz w:val="22"/>
      <w:szCs w:val="22"/>
    </w:rPr>
  </w:style>
  <w:style w:type="paragraph" w:styleId="25">
    <w:name w:val="toc 3"/>
    <w:basedOn w:val="1"/>
    <w:next w:val="1"/>
    <w:autoRedefine/>
    <w:unhideWhenUsed/>
    <w:uiPriority w:val="39"/>
    <w:pPr>
      <w:spacing w:after="100" w:line="259" w:lineRule="auto"/>
      <w:ind w:left="440"/>
    </w:pPr>
    <w:rPr>
      <w:rFonts w:cs="Times New Roman" w:eastAsiaTheme="minorEastAsia"/>
      <w:kern w:val="0"/>
      <w:sz w:val="22"/>
      <w:szCs w:val="22"/>
    </w:rPr>
  </w:style>
  <w:style w:type="character" w:customStyle="1" w:styleId="26">
    <w:name w:val="Heading 1 Char"/>
    <w:basedOn w:val="11"/>
    <w:link w:val="2"/>
    <w:qFormat/>
    <w:uiPriority w:val="9"/>
    <w:rPr>
      <w:rFonts w:ascii="Times New Roman" w:hAnsi="Times New Roman" w:cs="Times New Roman" w:eastAsiaTheme="majorEastAsia"/>
      <w:b/>
      <w:bCs/>
      <w:color w:val="104862" w:themeColor="accent1" w:themeShade="BF"/>
      <w:sz w:val="40"/>
      <w:szCs w:val="40"/>
    </w:rPr>
  </w:style>
  <w:style w:type="character" w:customStyle="1" w:styleId="27">
    <w:name w:val="Heading 2 Char"/>
    <w:basedOn w:val="11"/>
    <w:link w:val="3"/>
    <w:qFormat/>
    <w:uiPriority w:val="9"/>
    <w:rPr>
      <w:rFonts w:ascii="Times New Roman" w:hAnsi="Times New Roman" w:cs="Times New Roman" w:eastAsiaTheme="majorEastAsia"/>
      <w:b/>
      <w:bCs/>
      <w:color w:val="104862" w:themeColor="accent1" w:themeShade="BF"/>
      <w:sz w:val="32"/>
      <w:szCs w:val="32"/>
    </w:rPr>
  </w:style>
  <w:style w:type="character" w:customStyle="1" w:styleId="28">
    <w:name w:val="Heading 3 Char"/>
    <w:basedOn w:val="11"/>
    <w:link w:val="4"/>
    <w:semiHidden/>
    <w:qFormat/>
    <w:uiPriority w:val="9"/>
    <w:rPr>
      <w:rFonts w:eastAsiaTheme="majorEastAsia" w:cstheme="majorBidi"/>
      <w:color w:val="104862" w:themeColor="accent1" w:themeShade="BF"/>
      <w:sz w:val="28"/>
      <w:szCs w:val="28"/>
    </w:rPr>
  </w:style>
  <w:style w:type="character" w:customStyle="1" w:styleId="29">
    <w:name w:val="Heading 4 Char"/>
    <w:basedOn w:val="11"/>
    <w:link w:val="5"/>
    <w:semiHidden/>
    <w:qFormat/>
    <w:uiPriority w:val="9"/>
    <w:rPr>
      <w:rFonts w:eastAsiaTheme="majorEastAsia" w:cstheme="majorBidi"/>
      <w:i/>
      <w:iCs/>
      <w:color w:val="104862" w:themeColor="accent1" w:themeShade="BF"/>
    </w:rPr>
  </w:style>
  <w:style w:type="character" w:customStyle="1" w:styleId="30">
    <w:name w:val="Heading 5 Char"/>
    <w:basedOn w:val="11"/>
    <w:link w:val="6"/>
    <w:semiHidden/>
    <w:qFormat/>
    <w:uiPriority w:val="9"/>
    <w:rPr>
      <w:rFonts w:eastAsiaTheme="majorEastAsia" w:cstheme="majorBidi"/>
      <w:color w:val="104862" w:themeColor="accent1" w:themeShade="BF"/>
    </w:rPr>
  </w:style>
  <w:style w:type="character" w:customStyle="1" w:styleId="31">
    <w:name w:val="Heading 6 Char"/>
    <w:basedOn w:val="11"/>
    <w:link w:val="7"/>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32">
    <w:name w:val="Heading 7 Char"/>
    <w:basedOn w:val="11"/>
    <w:link w:val="8"/>
    <w:semiHidden/>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3">
    <w:name w:val="Heading 8 Char"/>
    <w:basedOn w:val="11"/>
    <w:link w:val="9"/>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34">
    <w:name w:val="Heading 9 Char"/>
    <w:basedOn w:val="11"/>
    <w:link w:val="10"/>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35">
    <w:name w:val="Title Char"/>
    <w:basedOn w:val="11"/>
    <w:link w:val="22"/>
    <w:qFormat/>
    <w:uiPriority w:val="10"/>
    <w:rPr>
      <w:rFonts w:asciiTheme="majorHAnsi" w:hAnsiTheme="majorHAnsi" w:eastAsiaTheme="majorEastAsia" w:cstheme="majorBidi"/>
      <w:spacing w:val="-10"/>
      <w:kern w:val="28"/>
      <w:sz w:val="56"/>
      <w:szCs w:val="56"/>
    </w:rPr>
  </w:style>
  <w:style w:type="character" w:customStyle="1" w:styleId="36">
    <w:name w:val="Subtitle Char"/>
    <w:basedOn w:val="11"/>
    <w:link w:val="20"/>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7">
    <w:name w:val="Quote"/>
    <w:basedOn w:val="1"/>
    <w:next w:val="1"/>
    <w:link w:val="38"/>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38">
    <w:name w:val="Quote Char"/>
    <w:basedOn w:val="11"/>
    <w:link w:val="37"/>
    <w:qFormat/>
    <w:uiPriority w:val="29"/>
    <w:rPr>
      <w:i/>
      <w:iCs/>
      <w:color w:val="404040" w:themeColor="text1" w:themeTint="BF"/>
      <w14:textFill>
        <w14:solidFill>
          <w14:schemeClr w14:val="tx1">
            <w14:lumMod w14:val="75000"/>
            <w14:lumOff w14:val="25000"/>
          </w14:schemeClr>
        </w14:solidFill>
      </w14:textFill>
    </w:rPr>
  </w:style>
  <w:style w:type="paragraph" w:styleId="39">
    <w:name w:val="List Paragraph"/>
    <w:basedOn w:val="1"/>
    <w:qFormat/>
    <w:uiPriority w:val="0"/>
    <w:pPr>
      <w:ind w:left="720"/>
      <w:contextualSpacing/>
    </w:pPr>
  </w:style>
  <w:style w:type="character" w:customStyle="1" w:styleId="40">
    <w:name w:val="Intense Emphasis"/>
    <w:basedOn w:val="11"/>
    <w:qFormat/>
    <w:uiPriority w:val="21"/>
    <w:rPr>
      <w:i/>
      <w:iCs/>
      <w:color w:val="104862" w:themeColor="accent1" w:themeShade="BF"/>
    </w:rPr>
  </w:style>
  <w:style w:type="paragraph" w:styleId="41">
    <w:name w:val="Intense Quote"/>
    <w:basedOn w:val="1"/>
    <w:next w:val="1"/>
    <w:link w:val="42"/>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2">
    <w:name w:val="Intense Quote Char"/>
    <w:basedOn w:val="11"/>
    <w:link w:val="41"/>
    <w:qFormat/>
    <w:uiPriority w:val="30"/>
    <w:rPr>
      <w:i/>
      <w:iCs/>
      <w:color w:val="104862" w:themeColor="accent1" w:themeShade="BF"/>
    </w:rPr>
  </w:style>
  <w:style w:type="character" w:customStyle="1" w:styleId="43">
    <w:name w:val="Intense Reference"/>
    <w:basedOn w:val="11"/>
    <w:qFormat/>
    <w:uiPriority w:val="32"/>
    <w:rPr>
      <w:b/>
      <w:bCs/>
      <w:smallCaps/>
      <w:color w:val="104862" w:themeColor="accent1" w:themeShade="BF"/>
      <w:spacing w:val="5"/>
    </w:rPr>
  </w:style>
  <w:style w:type="paragraph" w:customStyle="1" w:styleId="44">
    <w:name w:val="TOC Heading"/>
    <w:basedOn w:val="2"/>
    <w:next w:val="1"/>
    <w:unhideWhenUsed/>
    <w:qFormat/>
    <w:uiPriority w:val="39"/>
    <w:pPr>
      <w:spacing w:before="240" w:after="0" w:line="259" w:lineRule="auto"/>
      <w:outlineLvl w:val="9"/>
    </w:pPr>
    <w:rPr>
      <w:rFonts w:asciiTheme="majorHAnsi" w:hAnsiTheme="majorHAnsi" w:cstheme="majorBidi"/>
      <w:b w:val="0"/>
      <w:bCs w:val="0"/>
      <w:kern w:val="0"/>
      <w:sz w:val="32"/>
      <w:szCs w:val="32"/>
    </w:rPr>
  </w:style>
  <w:style w:type="character" w:customStyle="1" w:styleId="45">
    <w:name w:val="Footnote Text Char"/>
    <w:basedOn w:val="11"/>
    <w:link w:val="16"/>
    <w:semiHidden/>
    <w:uiPriority w:val="99"/>
    <w:rPr>
      <w:sz w:val="20"/>
      <w:szCs w:val="20"/>
    </w:rPr>
  </w:style>
  <w:style w:type="table" w:customStyle="1" w:styleId="46">
    <w:name w:val="Table Grid1"/>
    <w:basedOn w:val="12"/>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
    <w:name w:val="Default"/>
    <w:uiPriority w:val="0"/>
    <w:pPr>
      <w:autoSpaceDE w:val="0"/>
      <w:autoSpaceDN w:val="0"/>
      <w:adjustRightInd w:val="0"/>
      <w:spacing w:after="0" w:line="240" w:lineRule="auto"/>
    </w:pPr>
    <w:rPr>
      <w:rFonts w:ascii="Arial" w:hAnsi="Arial" w:cs="Arial" w:eastAsiaTheme="minorHAnsi"/>
      <w:color w:val="000000"/>
      <w:kern w:val="0"/>
      <w:sz w:val="24"/>
      <w:szCs w:val="24"/>
      <w:lang w:val="en-US" w:eastAsia="en-US" w:bidi="ar-SA"/>
    </w:rPr>
  </w:style>
  <w:style w:type="character" w:customStyle="1" w:styleId="48">
    <w:name w:val="Header Char"/>
    <w:basedOn w:val="11"/>
    <w:link w:val="17"/>
    <w:uiPriority w:val="99"/>
  </w:style>
  <w:style w:type="character" w:customStyle="1" w:styleId="49">
    <w:name w:val="Footer Char"/>
    <w:basedOn w:val="11"/>
    <w:link w:val="14"/>
    <w:uiPriority w:val="99"/>
  </w:style>
  <w:style w:type="character" w:customStyle="1" w:styleId="50">
    <w:name w:val="Balloon Text Char"/>
    <w:basedOn w:val="11"/>
    <w:link w:val="13"/>
    <w:semiHidden/>
    <w:uiPriority w:val="99"/>
    <w:rPr>
      <w:rFonts w:ascii="Tahoma" w:hAnsi="Tahoma" w:cs="Tahoma"/>
      <w:sz w:val="16"/>
      <w:szCs w:val="16"/>
    </w:rPr>
  </w:style>
  <w:style w:type="paragraph" w:styleId="51">
    <w:name w:val="No Spacing"/>
    <w:qFormat/>
    <w:uiPriority w:val="1"/>
    <w:pPr>
      <w:spacing w:after="0" w:line="240" w:lineRule="auto"/>
    </w:pPr>
    <w:rPr>
      <w:rFonts w:asciiTheme="minorHAnsi" w:hAnsiTheme="minorHAnsi" w:eastAsiaTheme="minorHAnsi" w:cstheme="minorBidi"/>
      <w:kern w:val="2"/>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numbering" Target="numbering.xml"/><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395866-4074-40BF-8506-498ABC2C94D3}">
  <ds:schemaRefs/>
</ds:datastoreItem>
</file>

<file path=docProps/app.xml><?xml version="1.0" encoding="utf-8"?>
<Properties xmlns="http://schemas.openxmlformats.org/officeDocument/2006/extended-properties" xmlns:vt="http://schemas.openxmlformats.org/officeDocument/2006/docPropsVTypes">
  <Template>Normal</Template>
  <Pages>82</Pages>
  <Words>2089</Words>
  <Characters>13328</Characters>
  <Lines>1316</Lines>
  <Paragraphs>370</Paragraphs>
  <TotalTime>1</TotalTime>
  <ScaleCrop>false</ScaleCrop>
  <LinksUpToDate>false</LinksUpToDate>
  <CharactersWithSpaces>15380</CharactersWithSpaces>
  <Application>WPS Office_12.1.0.26372_F1E327BC-269C-435d-A152-05C5408002CA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2026-05-07T13:54:00Z</dcterms:created>
  <dc:creator>Mirjana  Stanković</dc:creator>
  <cp:lastModifiedBy>WPS_1710228568</cp:lastModifiedBy>
  <dcterms:modified xsi:type="dcterms:W3CDTF">2026-06-01T09:14:49Z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1033-12.1.0.26372</vt:lpwstr>
  </property>
  <property fmtid="{D5CDD505-2E9C-101B-9397-08002B2CF9AE}" pid="3" name="ICV">
    <vt:lpwstr>060C3D8E2FF94B5D84BB08DC5206DD68_13</vt:lpwstr>
  </property>
</Properties>
</file>